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4D1070">
      <w:pPr>
        <w:spacing w:line="480" w:lineRule="exact"/>
        <w:ind w:firstLine="4160" w:firstLineChars="1300"/>
        <w:rPr>
          <w:rFonts w:ascii="Times New Roman" w:hAnsi="Times New Roman" w:eastAsia="仿宋_GB2312"/>
          <w:sz w:val="32"/>
          <w:szCs w:val="32"/>
        </w:rPr>
      </w:pPr>
    </w:p>
    <w:p w14:paraId="0D856F1E">
      <w:pPr>
        <w:autoSpaceDE w:val="0"/>
        <w:autoSpaceDN w:val="0"/>
        <w:adjustRightInd w:val="0"/>
        <w:spacing w:line="600" w:lineRule="exact"/>
        <w:jc w:val="center"/>
        <w:rPr>
          <w:rFonts w:ascii="Times New Roman" w:hAnsi="Times New Roman" w:eastAsia="方正小标宋简体"/>
          <w:kern w:val="0"/>
          <w:sz w:val="44"/>
          <w:szCs w:val="44"/>
        </w:rPr>
      </w:pPr>
      <w:r>
        <w:rPr>
          <w:rFonts w:ascii="Times New Roman" w:hAnsi="Times New Roman" w:eastAsia="方正小标宋简体"/>
          <w:kern w:val="0"/>
          <w:sz w:val="44"/>
          <w:szCs w:val="4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eastAsia="方正小标宋简体"/>
          <w:kern w:val="0"/>
          <w:sz w:val="44"/>
          <w:szCs w:val="44"/>
        </w:rPr>
        <w:instrText xml:space="preserve">ADDIN CNKISM.UserStyle</w:instrText>
      </w:r>
      <w:r>
        <w:rPr>
          <w:rFonts w:ascii="Times New Roman" w:hAnsi="Times New Roman" w:eastAsia="方正小标宋简体"/>
          <w:kern w:val="0"/>
          <w:sz w:val="44"/>
          <w:szCs w:val="44"/>
        </w:rPr>
        <w:fldChar w:fldCharType="end"/>
      </w:r>
      <w:r>
        <w:rPr>
          <w:rFonts w:ascii="Times New Roman" w:hAnsi="Times New Roman" w:eastAsia="方正小标宋简体"/>
          <w:kern w:val="0"/>
          <w:sz w:val="44"/>
          <w:szCs w:val="44"/>
        </w:rPr>
        <w:t>连云港经济技术开发区地震应急预案</w:t>
      </w:r>
    </w:p>
    <w:p w14:paraId="55E6685B">
      <w:pPr>
        <w:pStyle w:val="2"/>
      </w:pPr>
    </w:p>
    <w:p w14:paraId="04F0EBAC">
      <w:pPr>
        <w:autoSpaceDE w:val="0"/>
        <w:autoSpaceDN w:val="0"/>
        <w:adjustRightInd w:val="0"/>
        <w:spacing w:line="600" w:lineRule="exact"/>
        <w:jc w:val="center"/>
        <w:rPr>
          <w:rFonts w:ascii="Times New Roman" w:hAnsi="Times New Roman" w:eastAsia="方正小标宋简体"/>
          <w:kern w:val="0"/>
          <w:sz w:val="44"/>
          <w:szCs w:val="44"/>
        </w:rPr>
      </w:pPr>
      <w:r>
        <w:rPr>
          <w:rFonts w:ascii="Times New Roman" w:hAnsi="Times New Roman" w:eastAsia="方正小标宋简体"/>
          <w:kern w:val="0"/>
          <w:sz w:val="44"/>
          <w:szCs w:val="44"/>
        </w:rPr>
        <w:t>目录</w:t>
      </w:r>
    </w:p>
    <w:p w14:paraId="33F914A9">
      <w:pPr>
        <w:autoSpaceDE w:val="0"/>
        <w:autoSpaceDN w:val="0"/>
        <w:snapToGrid w:val="0"/>
        <w:spacing w:line="600" w:lineRule="exact"/>
        <w:ind w:firstLine="624"/>
        <w:jc w:val="center"/>
        <w:rPr>
          <w:rFonts w:ascii="Times New Roman" w:hAnsi="Times New Roman" w:eastAsia="黑体"/>
          <w:snapToGrid w:val="0"/>
          <w:sz w:val="20"/>
          <w:szCs w:val="20"/>
        </w:rPr>
      </w:pPr>
    </w:p>
    <w:p w14:paraId="237E380A">
      <w:pPr>
        <w:autoSpaceDE w:val="0"/>
        <w:autoSpaceDN w:val="0"/>
        <w:snapToGrid w:val="0"/>
        <w:spacing w:line="560" w:lineRule="exact"/>
        <w:ind w:firstLine="624"/>
        <w:jc w:val="left"/>
        <w:rPr>
          <w:rFonts w:ascii="Times New Roman" w:hAnsi="Times New Roman" w:eastAsia="黑体"/>
          <w:snapToGrid w:val="0"/>
          <w:sz w:val="32"/>
          <w:szCs w:val="32"/>
        </w:rPr>
      </w:pPr>
      <w:r>
        <w:rPr>
          <w:rFonts w:ascii="Times New Roman" w:hAnsi="Times New Roman" w:eastAsia="黑体"/>
          <w:snapToGrid w:val="0"/>
          <w:sz w:val="32"/>
          <w:szCs w:val="32"/>
        </w:rPr>
        <w:t>1  总则</w:t>
      </w:r>
    </w:p>
    <w:p w14:paraId="0402C372">
      <w:pPr>
        <w:autoSpaceDE w:val="0"/>
        <w:autoSpaceDN w:val="0"/>
        <w:adjustRightInd w:val="0"/>
        <w:spacing w:line="560" w:lineRule="exact"/>
        <w:ind w:firstLine="1078"/>
        <w:jc w:val="left"/>
        <w:rPr>
          <w:rFonts w:ascii="Times New Roman" w:hAnsi="Times New Roman" w:eastAsia="仿宋_GB2312"/>
          <w:kern w:val="0"/>
          <w:sz w:val="32"/>
          <w:szCs w:val="32"/>
        </w:rPr>
      </w:pPr>
      <w:r>
        <w:rPr>
          <w:rFonts w:ascii="Times New Roman" w:hAnsi="Times New Roman" w:eastAsia="仿宋_GB2312"/>
          <w:kern w:val="0"/>
          <w:sz w:val="32"/>
          <w:szCs w:val="32"/>
        </w:rPr>
        <w:t>1.1  编制目的</w:t>
      </w:r>
    </w:p>
    <w:p w14:paraId="5F3AB2E4">
      <w:pPr>
        <w:autoSpaceDE w:val="0"/>
        <w:autoSpaceDN w:val="0"/>
        <w:adjustRightInd w:val="0"/>
        <w:spacing w:line="560" w:lineRule="exact"/>
        <w:ind w:firstLine="1078"/>
        <w:jc w:val="left"/>
        <w:rPr>
          <w:rFonts w:ascii="Times New Roman" w:hAnsi="Times New Roman" w:eastAsia="仿宋_GB2312"/>
          <w:kern w:val="0"/>
          <w:sz w:val="32"/>
          <w:szCs w:val="32"/>
        </w:rPr>
      </w:pPr>
      <w:r>
        <w:rPr>
          <w:rFonts w:ascii="Times New Roman" w:hAnsi="Times New Roman" w:eastAsia="仿宋_GB2312"/>
          <w:kern w:val="0"/>
          <w:sz w:val="32"/>
          <w:szCs w:val="32"/>
        </w:rPr>
        <w:t>1.2  编制依据</w:t>
      </w:r>
    </w:p>
    <w:p w14:paraId="4BB54F96">
      <w:pPr>
        <w:autoSpaceDE w:val="0"/>
        <w:autoSpaceDN w:val="0"/>
        <w:adjustRightInd w:val="0"/>
        <w:spacing w:line="560" w:lineRule="exact"/>
        <w:ind w:firstLine="1078"/>
        <w:jc w:val="left"/>
        <w:rPr>
          <w:rFonts w:ascii="Times New Roman" w:hAnsi="Times New Roman" w:eastAsia="仿宋_GB2312"/>
          <w:kern w:val="0"/>
          <w:sz w:val="32"/>
          <w:szCs w:val="32"/>
        </w:rPr>
      </w:pPr>
      <w:r>
        <w:rPr>
          <w:rFonts w:ascii="Times New Roman" w:hAnsi="Times New Roman" w:eastAsia="仿宋_GB2312"/>
          <w:kern w:val="0"/>
          <w:sz w:val="32"/>
          <w:szCs w:val="32"/>
        </w:rPr>
        <w:t>1.3  适用范围</w:t>
      </w:r>
    </w:p>
    <w:p w14:paraId="16924F40">
      <w:pPr>
        <w:autoSpaceDE w:val="0"/>
        <w:autoSpaceDN w:val="0"/>
        <w:adjustRightInd w:val="0"/>
        <w:spacing w:line="560" w:lineRule="exact"/>
        <w:ind w:firstLine="1078"/>
        <w:jc w:val="left"/>
        <w:rPr>
          <w:rFonts w:ascii="Times New Roman" w:hAnsi="Times New Roman" w:eastAsia="仿宋_GB2312"/>
          <w:kern w:val="0"/>
          <w:sz w:val="32"/>
          <w:szCs w:val="32"/>
        </w:rPr>
      </w:pPr>
      <w:r>
        <w:rPr>
          <w:rFonts w:ascii="Times New Roman" w:hAnsi="Times New Roman" w:eastAsia="仿宋_GB2312"/>
          <w:kern w:val="0"/>
          <w:sz w:val="32"/>
          <w:szCs w:val="32"/>
        </w:rPr>
        <w:t>1.4  工作原则</w:t>
      </w:r>
    </w:p>
    <w:p w14:paraId="3AB5C81D">
      <w:pPr>
        <w:autoSpaceDE w:val="0"/>
        <w:autoSpaceDN w:val="0"/>
        <w:adjustRightInd w:val="0"/>
        <w:spacing w:line="560" w:lineRule="exact"/>
        <w:ind w:firstLine="1107" w:firstLineChars="346"/>
        <w:jc w:val="left"/>
        <w:rPr>
          <w:rFonts w:ascii="Times New Roman" w:hAnsi="Times New Roman" w:eastAsia="仿宋_GB2312"/>
          <w:kern w:val="0"/>
          <w:sz w:val="32"/>
          <w:szCs w:val="32"/>
        </w:rPr>
      </w:pPr>
      <w:r>
        <w:rPr>
          <w:rFonts w:ascii="Times New Roman" w:hAnsi="Times New Roman" w:eastAsia="仿宋_GB2312"/>
          <w:kern w:val="0"/>
          <w:sz w:val="32"/>
          <w:szCs w:val="32"/>
        </w:rPr>
        <w:t>1.5  地震灾害风险评价分析</w:t>
      </w:r>
    </w:p>
    <w:p w14:paraId="35AAF71F">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2  响应机制</w:t>
      </w:r>
    </w:p>
    <w:p w14:paraId="36754C63">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2.1  地震灾害分级</w:t>
      </w:r>
    </w:p>
    <w:p w14:paraId="153F85E1">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2.2  分级响应</w:t>
      </w:r>
    </w:p>
    <w:p w14:paraId="6A0F54EA">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3  组织体系</w:t>
      </w:r>
    </w:p>
    <w:p w14:paraId="336C8A80">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3.1  区抗震救灾指挥部组成及其主要职责</w:t>
      </w:r>
    </w:p>
    <w:p w14:paraId="598BBF86">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3.2  区抗震救灾现场指挥部组成及其主要职责</w:t>
      </w:r>
    </w:p>
    <w:p w14:paraId="189FAA24">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4  监测报告与预报预防</w:t>
      </w:r>
    </w:p>
    <w:p w14:paraId="79796368">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4.1  监测预报</w:t>
      </w:r>
    </w:p>
    <w:p w14:paraId="513B2C1D">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4.2  预防措施</w:t>
      </w:r>
    </w:p>
    <w:p w14:paraId="45297820">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5  应急响应</w:t>
      </w:r>
    </w:p>
    <w:p w14:paraId="187B3195">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5.1  特别重大或重大地震灾害应急响应</w:t>
      </w:r>
    </w:p>
    <w:p w14:paraId="514B414D">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5.2  较大地震灾害应急响应</w:t>
      </w:r>
    </w:p>
    <w:p w14:paraId="083A9853">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5.3  一般地震灾害应急响应</w:t>
      </w:r>
    </w:p>
    <w:p w14:paraId="6DEFE559">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6  恢复重建</w:t>
      </w:r>
    </w:p>
    <w:p w14:paraId="40B731CF">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7  其他地震事件应急响应</w:t>
      </w:r>
    </w:p>
    <w:p w14:paraId="4D8179E5">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7.1  地震传言事件应急响应</w:t>
      </w:r>
    </w:p>
    <w:p w14:paraId="73225F55">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7.2  特殊时期应急戒备</w:t>
      </w:r>
    </w:p>
    <w:p w14:paraId="6950E8FC">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7.3  邻县（区）或近海海域地震应急响应</w:t>
      </w:r>
    </w:p>
    <w:p w14:paraId="1BE8EF78">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8  应急保障</w:t>
      </w:r>
    </w:p>
    <w:p w14:paraId="3AD5B2B7">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8.1  资金与物资</w:t>
      </w:r>
    </w:p>
    <w:p w14:paraId="4D7976DF">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8.2  救援队伍</w:t>
      </w:r>
    </w:p>
    <w:p w14:paraId="09F74DF6">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8.3  指挥平台</w:t>
      </w:r>
    </w:p>
    <w:p w14:paraId="7614D030">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8.4  避难场所</w:t>
      </w:r>
    </w:p>
    <w:p w14:paraId="502DCA67">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8.5  基础设施</w:t>
      </w:r>
    </w:p>
    <w:p w14:paraId="6A92F7D1">
      <w:pPr>
        <w:autoSpaceDE w:val="0"/>
        <w:autoSpaceDN w:val="0"/>
        <w:snapToGrid w:val="0"/>
        <w:spacing w:line="560" w:lineRule="exact"/>
        <w:ind w:firstLine="1107" w:firstLineChars="346"/>
        <w:rPr>
          <w:rFonts w:ascii="Times New Roman" w:hAnsi="Times New Roman" w:eastAsia="仿宋_GB2312"/>
          <w:snapToGrid w:val="0"/>
          <w:sz w:val="32"/>
          <w:szCs w:val="32"/>
        </w:rPr>
      </w:pPr>
      <w:r>
        <w:rPr>
          <w:rFonts w:ascii="Times New Roman" w:hAnsi="Times New Roman" w:eastAsia="仿宋_GB2312"/>
          <w:snapToGrid w:val="0"/>
          <w:sz w:val="32"/>
          <w:szCs w:val="32"/>
        </w:rPr>
        <w:t>8.6  宣传、培训与演练</w:t>
      </w:r>
    </w:p>
    <w:p w14:paraId="6A9A3D4D">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9  附则</w:t>
      </w:r>
    </w:p>
    <w:p w14:paraId="44B40F33">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9.1  奖励与责任</w:t>
      </w:r>
    </w:p>
    <w:p w14:paraId="10957113">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9.2  预案管理与更新</w:t>
      </w:r>
    </w:p>
    <w:p w14:paraId="785597D3">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9.3  以上、以下的含义</w:t>
      </w:r>
    </w:p>
    <w:p w14:paraId="695E75CB">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9.4  预案解释</w:t>
      </w:r>
    </w:p>
    <w:p w14:paraId="59DE0CA9">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9.5  预案实施时间</w:t>
      </w:r>
    </w:p>
    <w:p w14:paraId="599E83E3">
      <w:pPr>
        <w:pStyle w:val="2"/>
        <w:ind w:firstLine="480"/>
        <w:rPr>
          <w:rFonts w:cs="Times New Roman"/>
        </w:rPr>
      </w:pPr>
      <w:r>
        <w:rPr>
          <w:rFonts w:cs="Times New Roman"/>
        </w:rPr>
        <w:br w:type="page"/>
      </w:r>
    </w:p>
    <w:p w14:paraId="3C449BF1">
      <w:pPr>
        <w:autoSpaceDE w:val="0"/>
        <w:autoSpaceDN w:val="0"/>
        <w:snapToGrid w:val="0"/>
        <w:spacing w:line="600" w:lineRule="exact"/>
        <w:ind w:firstLine="640" w:firstLineChars="200"/>
        <w:rPr>
          <w:rFonts w:ascii="Times New Roman" w:hAnsi="Times New Roman" w:eastAsia="黑体"/>
          <w:snapToGrid w:val="0"/>
          <w:sz w:val="32"/>
          <w:szCs w:val="32"/>
        </w:rPr>
      </w:pPr>
      <w:r>
        <w:rPr>
          <w:rFonts w:ascii="Times New Roman" w:hAnsi="Times New Roman" w:eastAsia="黑体"/>
          <w:snapToGrid w:val="0"/>
          <w:sz w:val="32"/>
          <w:szCs w:val="32"/>
        </w:rPr>
        <w:t>1  总则</w:t>
      </w:r>
    </w:p>
    <w:p w14:paraId="3BAD82BF">
      <w:pPr>
        <w:autoSpaceDE w:val="0"/>
        <w:autoSpaceDN w:val="0"/>
        <w:adjustRightInd w:val="0"/>
        <w:spacing w:line="60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1.1  编制目的</w:t>
      </w:r>
    </w:p>
    <w:p w14:paraId="7CBA18FD">
      <w:pPr>
        <w:autoSpaceDE w:val="0"/>
        <w:autoSpaceDN w:val="0"/>
        <w:adjustRightIn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依法科学统一、有力有序有效地实施地震应急，最大程度减少人员伤亡和经济损失，维护社会正常秩序。</w:t>
      </w:r>
    </w:p>
    <w:p w14:paraId="577F8D3C">
      <w:pPr>
        <w:autoSpaceDE w:val="0"/>
        <w:autoSpaceDN w:val="0"/>
        <w:adjustRightInd w:val="0"/>
        <w:spacing w:line="60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1.2  编制依据</w:t>
      </w:r>
    </w:p>
    <w:p w14:paraId="474E8BFE">
      <w:pPr>
        <w:autoSpaceDE w:val="0"/>
        <w:autoSpaceDN w:val="0"/>
        <w:adjustRightIn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依据《中华人民共和国突发事件应对法》、《中华人民共和国防震减灾法》、《江苏省防震减灾条例》、《江苏省实施〈中华人民共和国突发事件应对法〉办法》等法律法规及规章和《国家地震应急预案》、《江苏省突发事件总体应急预案》《江苏省地震应急预案》、《连云港市地震应急预案》等预案，结合连云港经济技术开发区（下称开发区）实际，制定本预案。</w:t>
      </w:r>
    </w:p>
    <w:p w14:paraId="64ABB0F5">
      <w:pPr>
        <w:autoSpaceDE w:val="0"/>
        <w:autoSpaceDN w:val="0"/>
        <w:adjustRightInd w:val="0"/>
        <w:spacing w:line="60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1.3  适用范围</w:t>
      </w:r>
    </w:p>
    <w:p w14:paraId="46C9A63F">
      <w:pPr>
        <w:autoSpaceDE w:val="0"/>
        <w:autoSpaceDN w:val="0"/>
        <w:adjustRightIn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本预案适用于连云港经济技术开发区境内和邻近地区发生地震灾害及事件的应对工作。</w:t>
      </w:r>
    </w:p>
    <w:p w14:paraId="763EA7F2">
      <w:pPr>
        <w:autoSpaceDE w:val="0"/>
        <w:autoSpaceDN w:val="0"/>
        <w:adjustRightInd w:val="0"/>
        <w:spacing w:line="60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1.4  工作原则</w:t>
      </w:r>
    </w:p>
    <w:p w14:paraId="1955EDB1">
      <w:pPr>
        <w:autoSpaceDE w:val="0"/>
        <w:autoSpaceDN w:val="0"/>
        <w:adjustRightIn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抗震救灾工作坚持统一领导、综合协调、分组负责、快速高效、以人为本、科学救灾的工作原则。地震灾害发生后，开发区管委会、区有关部门、各街道应立即按照地震应急预案自动处置本行政区域内的地震灾害事件，加强现有各类资源整合，形成共享平台和协调一致的应急救援体系，确保地震应急信息及时准确传递，应急处置工作反应灵敏、运转高效。</w:t>
      </w:r>
    </w:p>
    <w:p w14:paraId="7D6C06BF">
      <w:pPr>
        <w:autoSpaceDE w:val="0"/>
        <w:autoSpaceDN w:val="0"/>
        <w:adjustRightInd w:val="0"/>
        <w:spacing w:line="54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1.5  地震灾害风险评价分析</w:t>
      </w:r>
    </w:p>
    <w:p w14:paraId="2E30C36B">
      <w:pPr>
        <w:autoSpaceDE w:val="0"/>
        <w:autoSpaceDN w:val="0"/>
        <w:adjustRightInd w:val="0"/>
        <w:spacing w:line="57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1.5.1  地震背景与风险设定</w:t>
      </w:r>
    </w:p>
    <w:p w14:paraId="61BE7FA6">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连云港经济技术开发区位居东经34°45′至34°40′，北纬119°10′至119°17′，规划面积143.8平方公里，下辖3个街道，人口9.85万。开发区位于华北地震区的南缘，郯庐地震带东部地区，南面与华南地震区的长江下游-南黄海地震带相邻。开发区及邻区存在发生中强地震的构造背景，未来存在发生破坏性地震的可能性。在2016年国家颁布的《中国地震动参数区划图》（GB18306—2015）中，连云港市域内50年超越概率10%的地震动峰值加速度达0.05g～0.20g。</w:t>
      </w:r>
    </w:p>
    <w:p w14:paraId="20707B14">
      <w:pPr>
        <w:autoSpaceDE w:val="0"/>
        <w:autoSpaceDN w:val="0"/>
        <w:adjustRightInd w:val="0"/>
        <w:spacing w:line="57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1.5.2  防灾能力</w:t>
      </w:r>
    </w:p>
    <w:p w14:paraId="3BBAF152">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（1）重要生命线工程、基础设施的分布及抗震能力</w:t>
      </w:r>
    </w:p>
    <w:p w14:paraId="74245ABA">
      <w:pPr>
        <w:shd w:val="clear" w:color="auto" w:fill="FFFFFF"/>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开发区新建、改建、扩建建设工程基本达到抗震设防要求。开发区重要生命线工程具体包括全区道路交通系统、供水管网、供电网、通信系统、供气系统，并在全区范围内分布。以上设施基本达到抗御</w:t>
      </w:r>
      <w:r>
        <w:rPr>
          <w:rFonts w:hint="eastAsia" w:ascii="宋体" w:hAnsi="宋体" w:eastAsia="宋体" w:cs="宋体"/>
          <w:kern w:val="0"/>
          <w:sz w:val="32"/>
          <w:szCs w:val="32"/>
        </w:rPr>
        <w:t>Ⅶ</w:t>
      </w:r>
      <w:r>
        <w:rPr>
          <w:rFonts w:ascii="Times New Roman" w:hAnsi="Times New Roman" w:eastAsia="仿宋_GB2312"/>
          <w:kern w:val="0"/>
          <w:sz w:val="32"/>
          <w:szCs w:val="32"/>
        </w:rPr>
        <w:t>度地震能力。</w:t>
      </w:r>
    </w:p>
    <w:p w14:paraId="6C49ED49">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（2）主要次生灾害危险源分布及防控能力</w:t>
      </w:r>
    </w:p>
    <w:p w14:paraId="697EC62F">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境内连云港市新奥燃气公司东部城区加气站、连云港碱业有限公司以及朝阳水库、胜利水库等，是我区重要的企业、单位，同时也是潜在的次生灾害源单位。上述企业单位均按照相关行业标准设置防控措施。</w:t>
      </w:r>
    </w:p>
    <w:p w14:paraId="26A68F84">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（3）应急资源</w:t>
      </w:r>
    </w:p>
    <w:p w14:paraId="0FE908AA">
      <w:pPr>
        <w:pStyle w:val="56"/>
        <w:widowControl w:val="0"/>
        <w:spacing w:line="560" w:lineRule="exact"/>
        <w:ind w:firstLine="640"/>
        <w:rPr>
          <w:rFonts w:ascii="Times New Roman" w:eastAsia="仿宋_GB2312"/>
          <w:sz w:val="32"/>
          <w:szCs w:val="32"/>
        </w:rPr>
      </w:pPr>
      <w:r>
        <w:rPr>
          <w:rFonts w:ascii="Times New Roman" w:eastAsia="仿宋_GB2312"/>
          <w:sz w:val="32"/>
          <w:szCs w:val="32"/>
        </w:rPr>
        <w:t>开发区拥有</w:t>
      </w:r>
      <w:r>
        <w:rPr>
          <w:rFonts w:ascii="Times New Roman" w:eastAsia="仿宋_GB2312"/>
          <w:color w:val="000000"/>
          <w:sz w:val="32"/>
          <w:szCs w:val="32"/>
        </w:rPr>
        <w:t>紧急避难场所、应急避难场所9处，设计容纳5万人，</w:t>
      </w:r>
      <w:r>
        <w:rPr>
          <w:rFonts w:ascii="Times New Roman" w:eastAsia="仿宋_GB2312"/>
          <w:sz w:val="32"/>
          <w:szCs w:val="32"/>
        </w:rPr>
        <w:t>分布在全区各街道、学校（火车东站、开发区西入口广场、开发区高级中学、中云中学、朝阳中学、新县小学、台北盐场小学、猴嘴中学、猴嘴小学等）。“开发区应急抢险救灾队伍”为连云港经济技术开发区综合救援队伍，主体由开发区公安分局、消防救援大队、社会事业局组织的医疗救援小队及民兵预备役队伍组成。</w:t>
      </w:r>
    </w:p>
    <w:p w14:paraId="383E5C39">
      <w:pPr>
        <w:autoSpaceDE w:val="0"/>
        <w:autoSpaceDN w:val="0"/>
        <w:snapToGrid w:val="0"/>
        <w:spacing w:line="590" w:lineRule="atLeast"/>
        <w:ind w:firstLine="640" w:firstLineChars="200"/>
        <w:rPr>
          <w:rFonts w:ascii="Times New Roman" w:hAnsi="Times New Roman" w:eastAsia="黑体"/>
          <w:snapToGrid w:val="0"/>
          <w:sz w:val="32"/>
          <w:szCs w:val="32"/>
        </w:rPr>
      </w:pPr>
      <w:r>
        <w:rPr>
          <w:rFonts w:ascii="Times New Roman" w:hAnsi="Times New Roman" w:eastAsia="黑体"/>
          <w:snapToGrid w:val="0"/>
          <w:sz w:val="32"/>
          <w:szCs w:val="32"/>
        </w:rPr>
        <w:t>2  响应机制</w:t>
      </w:r>
    </w:p>
    <w:p w14:paraId="28584BF9">
      <w:pPr>
        <w:autoSpaceDE w:val="0"/>
        <w:autoSpaceDN w:val="0"/>
        <w:adjustRightInd w:val="0"/>
        <w:spacing w:line="600" w:lineRule="atLeas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2.1  地震灾害分级</w:t>
      </w:r>
    </w:p>
    <w:p w14:paraId="64442F92">
      <w:pPr>
        <w:autoSpaceDE w:val="0"/>
        <w:autoSpaceDN w:val="0"/>
        <w:adjustRightInd w:val="0"/>
        <w:spacing w:line="600" w:lineRule="atLeast"/>
        <w:ind w:firstLine="640" w:firstLineChars="200"/>
        <w:rPr>
          <w:rFonts w:ascii="Times New Roman" w:hAnsi="Times New Roman" w:eastAsia="仿宋_GB2312"/>
          <w:color w:val="FF0000"/>
          <w:kern w:val="0"/>
          <w:sz w:val="32"/>
          <w:szCs w:val="32"/>
        </w:rPr>
      </w:pPr>
      <w:r>
        <w:rPr>
          <w:rFonts w:ascii="Times New Roman" w:hAnsi="Times New Roman" w:eastAsia="仿宋_GB2312"/>
          <w:kern w:val="0"/>
          <w:sz w:val="32"/>
          <w:szCs w:val="32"/>
        </w:rPr>
        <w:t>地震灾害分为特别重大、重大、较大、一般四级，分别对应</w:t>
      </w:r>
      <w:r>
        <w:rPr>
          <w:rFonts w:hint="eastAsia" w:ascii="宋体" w:hAnsi="宋体" w:eastAsia="宋体" w:cs="宋体"/>
          <w:kern w:val="0"/>
          <w:sz w:val="32"/>
          <w:szCs w:val="32"/>
        </w:rPr>
        <w:t>Ⅰ</w:t>
      </w:r>
      <w:r>
        <w:rPr>
          <w:rFonts w:ascii="Times New Roman" w:hAnsi="Times New Roman" w:eastAsia="仿宋_GB2312"/>
          <w:kern w:val="0"/>
          <w:sz w:val="32"/>
          <w:szCs w:val="32"/>
        </w:rPr>
        <w:t>级、</w:t>
      </w:r>
      <w:r>
        <w:rPr>
          <w:rFonts w:hint="eastAsia" w:ascii="宋体" w:hAnsi="宋体" w:eastAsia="宋体" w:cs="宋体"/>
          <w:kern w:val="0"/>
          <w:sz w:val="32"/>
          <w:szCs w:val="32"/>
        </w:rPr>
        <w:t>Ⅱ</w:t>
      </w:r>
      <w:r>
        <w:rPr>
          <w:rFonts w:ascii="Times New Roman" w:hAnsi="Times New Roman" w:eastAsia="仿宋_GB2312"/>
          <w:kern w:val="0"/>
          <w:sz w:val="32"/>
          <w:szCs w:val="32"/>
        </w:rPr>
        <w:t>级、</w:t>
      </w:r>
      <w:r>
        <w:rPr>
          <w:rFonts w:hint="eastAsia" w:ascii="宋体" w:hAnsi="宋体" w:eastAsia="宋体" w:cs="宋体"/>
          <w:kern w:val="0"/>
          <w:sz w:val="32"/>
          <w:szCs w:val="32"/>
        </w:rPr>
        <w:t>Ⅲ</w:t>
      </w:r>
      <w:r>
        <w:rPr>
          <w:rFonts w:ascii="Times New Roman" w:hAnsi="Times New Roman" w:eastAsia="仿宋_GB2312"/>
          <w:kern w:val="0"/>
          <w:sz w:val="32"/>
          <w:szCs w:val="32"/>
        </w:rPr>
        <w:t>级、</w:t>
      </w:r>
      <w:r>
        <w:rPr>
          <w:rFonts w:hint="eastAsia" w:ascii="宋体" w:hAnsi="宋体" w:eastAsia="宋体" w:cs="宋体"/>
          <w:kern w:val="0"/>
          <w:sz w:val="32"/>
          <w:szCs w:val="32"/>
        </w:rPr>
        <w:t>Ⅳ</w:t>
      </w:r>
      <w:r>
        <w:rPr>
          <w:rFonts w:ascii="Times New Roman" w:hAnsi="Times New Roman" w:eastAsia="仿宋_GB2312"/>
          <w:kern w:val="0"/>
          <w:sz w:val="32"/>
          <w:szCs w:val="32"/>
        </w:rPr>
        <w:t>级响应。</w:t>
      </w:r>
    </w:p>
    <w:p w14:paraId="303CA878">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2.1.1  特别重大地震灾害</w:t>
      </w:r>
    </w:p>
    <w:p w14:paraId="3F31F04F">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特别重大地震灾害是指造成300人以上死亡（含失踪），或者直接经济损失占我区上年地区生产总值1%以上的地震灾害。</w:t>
      </w:r>
    </w:p>
    <w:p w14:paraId="07A6498B">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当开发区境内发生6.0级以上地震，近海海域50千米内或距开发区边界50千米以内的地区发生7.0级以上地震，初判为特别重大地震灾害。</w:t>
      </w:r>
    </w:p>
    <w:p w14:paraId="1AFB0CC5">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2.1.2  重大地震灾害</w:t>
      </w:r>
    </w:p>
    <w:p w14:paraId="62FC413C">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重大地震灾害是指造成50人以上、300人以下死亡（含失踪）或者造成严重经济损失的地震灾害。</w:t>
      </w:r>
    </w:p>
    <w:p w14:paraId="1BAA4F02">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当开发区境内发生5.0级以上、6.0级以下地震，近海海域50千米内或距开发区边界50千米以内的地区发生6.0级以上、7.0级以下地震，初判为重大地震灾害。</w:t>
      </w:r>
    </w:p>
    <w:p w14:paraId="182C292A">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2.1.3  较大地震灾害</w:t>
      </w:r>
    </w:p>
    <w:p w14:paraId="12B84B1C">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较大地震灾害是指造成10人以上、50人以下死亡（含失踪）或者造成较重经济损失的地震灾害。</w:t>
      </w:r>
    </w:p>
    <w:p w14:paraId="2825FC1F">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当开发区境内发生4.0级以上、5.0级以下地震，近海海域50千米内或距我区边界50千米以内的地区发生5.0级以上、6.0级以下地震，初判为较大地震灾害。</w:t>
      </w:r>
    </w:p>
    <w:p w14:paraId="2B98037F">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2.1.4  一般地震灾害</w:t>
      </w:r>
    </w:p>
    <w:p w14:paraId="5D4BB8AA">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一般地震灾害是指造成10人以下死亡（含失踪）或者造成一定经济损失的地震灾害。</w:t>
      </w:r>
    </w:p>
    <w:p w14:paraId="76E0F693">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当开发区境内发生4.0级以下强有感地震，初判为一般地震灾害。</w:t>
      </w:r>
    </w:p>
    <w:p w14:paraId="378CB9C9">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楷体_GB2312"/>
          <w:kern w:val="0"/>
          <w:sz w:val="32"/>
          <w:szCs w:val="32"/>
        </w:rPr>
        <w:t>2.2  分级响应</w:t>
      </w:r>
    </w:p>
    <w:p w14:paraId="414EB50F">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根据地震灾害分级情况，将地震灾害应急响应分为</w:t>
      </w:r>
      <w:r>
        <w:rPr>
          <w:rFonts w:hint="eastAsia" w:ascii="宋体" w:hAnsi="宋体" w:eastAsia="宋体" w:cs="宋体"/>
          <w:kern w:val="0"/>
          <w:sz w:val="32"/>
          <w:szCs w:val="32"/>
        </w:rPr>
        <w:t>Ⅰ</w:t>
      </w:r>
      <w:r>
        <w:rPr>
          <w:rFonts w:ascii="Times New Roman" w:hAnsi="Times New Roman" w:eastAsia="仿宋_GB2312"/>
          <w:kern w:val="0"/>
          <w:sz w:val="32"/>
          <w:szCs w:val="32"/>
        </w:rPr>
        <w:t>级、</w:t>
      </w:r>
      <w:r>
        <w:rPr>
          <w:rFonts w:hint="eastAsia" w:ascii="宋体" w:hAnsi="宋体" w:eastAsia="宋体" w:cs="宋体"/>
          <w:kern w:val="0"/>
          <w:sz w:val="32"/>
          <w:szCs w:val="32"/>
        </w:rPr>
        <w:t>Ⅱ</w:t>
      </w:r>
      <w:r>
        <w:rPr>
          <w:rFonts w:ascii="Times New Roman" w:hAnsi="Times New Roman" w:eastAsia="仿宋_GB2312"/>
          <w:kern w:val="0"/>
          <w:sz w:val="32"/>
          <w:szCs w:val="32"/>
        </w:rPr>
        <w:t>级、</w:t>
      </w:r>
      <w:r>
        <w:rPr>
          <w:rFonts w:hint="eastAsia" w:ascii="宋体" w:hAnsi="宋体" w:eastAsia="宋体" w:cs="宋体"/>
          <w:kern w:val="0"/>
          <w:sz w:val="32"/>
          <w:szCs w:val="32"/>
        </w:rPr>
        <w:t>Ⅲ</w:t>
      </w:r>
      <w:r>
        <w:rPr>
          <w:rFonts w:ascii="Times New Roman" w:hAnsi="Times New Roman" w:eastAsia="仿宋_GB2312"/>
          <w:kern w:val="0"/>
          <w:sz w:val="32"/>
          <w:szCs w:val="32"/>
        </w:rPr>
        <w:t>级和</w:t>
      </w:r>
      <w:r>
        <w:rPr>
          <w:rFonts w:hint="eastAsia" w:ascii="宋体" w:hAnsi="宋体" w:eastAsia="宋体" w:cs="宋体"/>
          <w:kern w:val="0"/>
          <w:sz w:val="32"/>
          <w:szCs w:val="32"/>
        </w:rPr>
        <w:t>Ⅳ</w:t>
      </w:r>
      <w:r>
        <w:rPr>
          <w:rFonts w:ascii="Times New Roman" w:hAnsi="Times New Roman" w:eastAsia="仿宋_GB2312"/>
          <w:kern w:val="0"/>
          <w:sz w:val="32"/>
          <w:szCs w:val="32"/>
        </w:rPr>
        <w:t>级。</w:t>
      </w:r>
    </w:p>
    <w:p w14:paraId="4B63CC7F">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应对特别重大地震灾害，启动</w:t>
      </w:r>
      <w:r>
        <w:rPr>
          <w:rFonts w:hint="eastAsia" w:ascii="宋体" w:hAnsi="宋体" w:eastAsia="宋体" w:cs="宋体"/>
          <w:kern w:val="0"/>
          <w:sz w:val="32"/>
          <w:szCs w:val="32"/>
        </w:rPr>
        <w:t>Ⅰ</w:t>
      </w:r>
      <w:r>
        <w:rPr>
          <w:rFonts w:ascii="Times New Roman" w:hAnsi="Times New Roman" w:eastAsia="仿宋_GB2312"/>
          <w:kern w:val="0"/>
          <w:sz w:val="32"/>
          <w:szCs w:val="32"/>
        </w:rPr>
        <w:t>级响应。由市抗震救灾指挥部统一领导、指挥和协调灾区抗震救灾工作。开发区抗震救灾指挥部协助市抗震救灾指挥部派遣组开展工作。</w:t>
      </w:r>
    </w:p>
    <w:p w14:paraId="688EBAFA">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应对重大地震灾害，启动</w:t>
      </w:r>
      <w:r>
        <w:rPr>
          <w:rFonts w:hint="eastAsia" w:ascii="宋体" w:hAnsi="宋体" w:eastAsia="宋体" w:cs="宋体"/>
          <w:kern w:val="0"/>
          <w:sz w:val="32"/>
          <w:szCs w:val="32"/>
        </w:rPr>
        <w:t>Ⅱ</w:t>
      </w:r>
      <w:r>
        <w:rPr>
          <w:rFonts w:ascii="Times New Roman" w:hAnsi="Times New Roman" w:eastAsia="仿宋_GB2312"/>
          <w:kern w:val="0"/>
          <w:sz w:val="32"/>
          <w:szCs w:val="32"/>
        </w:rPr>
        <w:t>级响应。由市抗震救灾指挥部统一领导、指挥和协调灾区抗震救灾工作。开发区抗震救灾指挥部协助市抗震救灾指挥部派遣组开展工作。</w:t>
      </w:r>
    </w:p>
    <w:p w14:paraId="5F49C2BA">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应对较大地震灾害，启动</w:t>
      </w:r>
      <w:r>
        <w:rPr>
          <w:rFonts w:hint="eastAsia" w:ascii="宋体" w:hAnsi="宋体" w:eastAsia="宋体" w:cs="宋体"/>
          <w:kern w:val="0"/>
          <w:sz w:val="32"/>
          <w:szCs w:val="32"/>
        </w:rPr>
        <w:t>Ⅲ</w:t>
      </w:r>
      <w:r>
        <w:rPr>
          <w:rFonts w:ascii="Times New Roman" w:hAnsi="Times New Roman" w:eastAsia="仿宋_GB2312"/>
          <w:kern w:val="0"/>
          <w:sz w:val="32"/>
          <w:szCs w:val="32"/>
        </w:rPr>
        <w:t>级响应。由开发区抗震救灾指挥部领导、指挥和协调灾区抗震救灾工作。市抗震救灾指挥部根据情况，组织协调有关部门和单位开展地震应急工作。</w:t>
      </w:r>
    </w:p>
    <w:p w14:paraId="38C1065B">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应对一般地震灾害，启动</w:t>
      </w:r>
      <w:r>
        <w:rPr>
          <w:rFonts w:hint="eastAsia" w:ascii="宋体" w:hAnsi="宋体" w:eastAsia="宋体" w:cs="宋体"/>
          <w:kern w:val="0"/>
          <w:sz w:val="32"/>
          <w:szCs w:val="32"/>
        </w:rPr>
        <w:t>Ⅳ</w:t>
      </w:r>
      <w:r>
        <w:rPr>
          <w:rFonts w:ascii="Times New Roman" w:hAnsi="Times New Roman" w:eastAsia="仿宋_GB2312"/>
          <w:kern w:val="0"/>
          <w:sz w:val="32"/>
          <w:szCs w:val="32"/>
        </w:rPr>
        <w:t>级响应。由开发区抗震救灾指挥部领导、指挥和协调灾区抗震救灾工作。开发区抗震救灾指挥部根据情况，组织有关部门和单位开展地震应急工作，根据需要报请市应急局、市住建局等市有关部门和单位协助做好抗震救灾工作。</w:t>
      </w:r>
    </w:p>
    <w:p w14:paraId="7B193981">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3  组织体系</w:t>
      </w:r>
    </w:p>
    <w:p w14:paraId="2D544822">
      <w:pPr>
        <w:autoSpaceDE w:val="0"/>
        <w:autoSpaceDN w:val="0"/>
        <w:adjustRightInd w:val="0"/>
        <w:spacing w:line="560" w:lineRule="exact"/>
        <w:ind w:firstLine="624"/>
        <w:jc w:val="left"/>
        <w:rPr>
          <w:rFonts w:ascii="Times New Roman" w:hAnsi="Times New Roman" w:eastAsia="仿宋_GB2312"/>
          <w:kern w:val="0"/>
          <w:sz w:val="32"/>
          <w:szCs w:val="32"/>
        </w:rPr>
      </w:pPr>
      <w:r>
        <w:rPr>
          <w:rFonts w:ascii="Times New Roman" w:hAnsi="Times New Roman" w:eastAsia="仿宋_GB2312"/>
          <w:kern w:val="0"/>
          <w:sz w:val="32"/>
          <w:szCs w:val="32"/>
        </w:rPr>
        <w:t>开发区防震减灾工作联席会议下设办公室，办公室设在区住房和城乡建设局，承担开发区防震减灾日常工作，协助市防震减灾工作联席会议开展应急准备、震后应急救援等各项工作，办公室主任由区住房和城乡建设局局长担任。</w:t>
      </w:r>
    </w:p>
    <w:p w14:paraId="7C7F7372">
      <w:pPr>
        <w:autoSpaceDE w:val="0"/>
        <w:autoSpaceDN w:val="0"/>
        <w:adjustRightInd w:val="0"/>
        <w:spacing w:line="560" w:lineRule="exact"/>
        <w:ind w:firstLine="624"/>
        <w:jc w:val="left"/>
        <w:rPr>
          <w:rFonts w:ascii="Times New Roman" w:hAnsi="Times New Roman" w:eastAsia="仿宋_GB2312"/>
          <w:kern w:val="0"/>
          <w:sz w:val="32"/>
          <w:szCs w:val="32"/>
        </w:rPr>
      </w:pPr>
      <w:r>
        <w:rPr>
          <w:rFonts w:ascii="Times New Roman" w:hAnsi="Times New Roman" w:eastAsia="仿宋_GB2312"/>
          <w:kern w:val="0"/>
          <w:sz w:val="32"/>
          <w:szCs w:val="32"/>
        </w:rPr>
        <w:t>开发区内发生地震灾情时，区防震减灾工作联席会议即自动转为区抗震救灾指挥部，统一领导指挥全区抗震救灾工作。参加联席会议的部门即转为抗震救灾指挥部成员单位，承担指挥部所赋予的职责。区抗震救灾指挥部下设办公室，办公室设在区应急管理局，办公室主任由区应急管理局局长担任。</w:t>
      </w:r>
    </w:p>
    <w:p w14:paraId="4EF0254B">
      <w:pPr>
        <w:autoSpaceDE w:val="0"/>
        <w:autoSpaceDN w:val="0"/>
        <w:adjustRightInd w:val="0"/>
        <w:spacing w:line="560" w:lineRule="exact"/>
        <w:ind w:firstLine="624"/>
        <w:jc w:val="left"/>
        <w:rPr>
          <w:rFonts w:ascii="Times New Roman" w:hAnsi="Times New Roman" w:eastAsia="仿宋_GB2312"/>
          <w:kern w:val="0"/>
          <w:sz w:val="32"/>
          <w:szCs w:val="32"/>
        </w:rPr>
      </w:pPr>
    </w:p>
    <w:p w14:paraId="27C05E21">
      <w:pPr>
        <w:autoSpaceDE w:val="0"/>
        <w:autoSpaceDN w:val="0"/>
        <w:adjustRightInd w:val="0"/>
        <w:spacing w:line="560" w:lineRule="exact"/>
        <w:ind w:firstLine="624"/>
        <w:jc w:val="left"/>
        <w:rPr>
          <w:rFonts w:ascii="Times New Roman" w:hAnsi="Times New Roman" w:eastAsia="仿宋_GB2312"/>
          <w:kern w:val="0"/>
          <w:sz w:val="32"/>
          <w:szCs w:val="32"/>
        </w:rPr>
      </w:pPr>
    </w:p>
    <w:p w14:paraId="5D6210E5">
      <w:pPr>
        <w:autoSpaceDE w:val="0"/>
        <w:autoSpaceDN w:val="0"/>
        <w:adjustRightInd w:val="0"/>
        <w:spacing w:line="560" w:lineRule="exact"/>
        <w:ind w:firstLine="624"/>
        <w:jc w:val="left"/>
        <w:rPr>
          <w:rFonts w:ascii="Times New Roman" w:hAnsi="Times New Roman" w:eastAsia="仿宋_GB2312"/>
          <w:kern w:val="0"/>
          <w:sz w:val="32"/>
          <w:szCs w:val="32"/>
        </w:rPr>
      </w:pPr>
    </w:p>
    <w:p w14:paraId="31C16915">
      <w:pPr>
        <w:autoSpaceDE w:val="0"/>
        <w:autoSpaceDN w:val="0"/>
        <w:adjustRightInd w:val="0"/>
        <w:spacing w:line="560" w:lineRule="exact"/>
        <w:ind w:firstLine="624"/>
        <w:jc w:val="center"/>
        <w:rPr>
          <w:rFonts w:ascii="Times New Roman" w:hAnsi="Times New Roman" w:eastAsia="仿宋_GB2312"/>
          <w:kern w:val="0"/>
          <w:sz w:val="32"/>
          <w:szCs w:val="32"/>
        </w:rPr>
      </w:pPr>
      <w:r>
        <w:rPr>
          <w:rFonts w:ascii="Times New Roman" w:hAnsi="Times New Roman" w:eastAsia="黑体"/>
          <w:kern w:val="0"/>
          <w:sz w:val="32"/>
          <w:szCs w:val="32"/>
        </w:rPr>
        <w:t>开发区地震应急救灾组织体系图</w:t>
      </w:r>
    </w:p>
    <w:p w14:paraId="5340D165">
      <w:pPr>
        <w:autoSpaceDE w:val="0"/>
        <w:autoSpaceDN w:val="0"/>
        <w:adjustRightInd w:val="0"/>
        <w:spacing w:line="570" w:lineRule="exact"/>
        <w:ind w:firstLine="624"/>
        <w:jc w:val="left"/>
        <w:rPr>
          <w:rFonts w:ascii="Times New Roman" w:hAnsi="Times New Roman" w:eastAsia="仿宋_GB2312"/>
          <w:kern w:val="0"/>
          <w:sz w:val="32"/>
          <w:szCs w:val="32"/>
        </w:rPr>
      </w:pPr>
    </w:p>
    <w:p w14:paraId="4BE634E0">
      <w:pPr>
        <w:autoSpaceDE w:val="0"/>
        <w:autoSpaceDN w:val="0"/>
        <w:adjustRightInd w:val="0"/>
        <w:spacing w:line="570" w:lineRule="exact"/>
        <w:ind w:firstLine="624"/>
        <w:jc w:val="left"/>
        <w:rPr>
          <w:rFonts w:ascii="Times New Roman" w:hAnsi="Times New Roman" w:eastAsia="仿宋_GB2312"/>
          <w:kern w:val="0"/>
          <w:sz w:val="32"/>
          <w:szCs w:val="32"/>
        </w:rPr>
      </w:pPr>
      <w:r>
        <w:rPr>
          <w:rFonts w:ascii="Times New Roman" w:hAnsi="Times New Roman" w:eastAsia="仿宋_GB2312"/>
          <w:kern w:val="0"/>
          <w:sz w:val="32"/>
          <w:szCs w:val="32"/>
        </w:rPr>
        <mc:AlternateContent>
          <mc:Choice Requires="wps">
            <w:drawing>
              <wp:anchor distT="0" distB="0" distL="114300" distR="114300" simplePos="0" relativeHeight="251669504" behindDoc="0" locked="0" layoutInCell="1" allowOverlap="1">
                <wp:simplePos x="0" y="0"/>
                <wp:positionH relativeFrom="column">
                  <wp:posOffset>5196840</wp:posOffset>
                </wp:positionH>
                <wp:positionV relativeFrom="paragraph">
                  <wp:posOffset>321945</wp:posOffset>
                </wp:positionV>
                <wp:extent cx="3810" cy="328930"/>
                <wp:effectExtent l="0" t="0" r="0" b="0"/>
                <wp:wrapNone/>
                <wp:docPr id="6" name="自选图形 35"/>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txbx>
                        <w:txbxContent>
                          <w:p w14:paraId="1923564F"/>
                        </w:txbxContent>
                      </wps:txbx>
                      <wps:bodyPr upright="1"/>
                    </wps:wsp>
                  </a:graphicData>
                </a:graphic>
              </wp:anchor>
            </w:drawing>
          </mc:Choice>
          <mc:Fallback>
            <w:pict>
              <v:shape id="自选图形 35" o:spid="_x0000_s1026" o:spt="100" style="position:absolute;left:0pt;margin-left:409.2pt;margin-top:25.35pt;height:25.9pt;width:0.3pt;z-index:251669504;mso-width-relative:page;mso-height-relative:page;" filled="f" stroked="t" coordsize="6,518" o:gfxdata="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og/1V&#10;1gAAAAoBAAAPAAAAAAAAAAEAIAAAACIAAABkcnMvZG93bnJldi54bWxQSwECFAAUAAAACACHTuJA&#10;SCBQslwCAAD+BAAADgAAAAAAAAABACAAAAAlAQAAZHJzL2Uyb0RvYy54bWxQSwUGAAAAAAYABgBZ&#10;AQAA8wUAAAAA&#10;" path="m6,0l0,518e">
                <v:path textboxrect="0,0,6,518"/>
                <v:fill on="f" focussize="0,0"/>
                <v:stroke color="#000000" joinstyle="round"/>
                <v:imagedata o:title=""/>
                <o:lock v:ext="edit" aspectratio="f"/>
                <v:textbox>
                  <w:txbxContent>
                    <w:p w14:paraId="1923564F"/>
                  </w:txbxContent>
                </v:textbox>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66432" behindDoc="0" locked="0" layoutInCell="1" allowOverlap="1">
                <wp:simplePos x="0" y="0"/>
                <wp:positionH relativeFrom="column">
                  <wp:posOffset>3500120</wp:posOffset>
                </wp:positionH>
                <wp:positionV relativeFrom="paragraph">
                  <wp:posOffset>308610</wp:posOffset>
                </wp:positionV>
                <wp:extent cx="1700530" cy="8255"/>
                <wp:effectExtent l="0" t="0" r="0" b="0"/>
                <wp:wrapNone/>
                <wp:docPr id="3" name="自选图形 34"/>
                <wp:cNvGraphicFramePr/>
                <a:graphic xmlns:a="http://schemas.openxmlformats.org/drawingml/2006/main">
                  <a:graphicData uri="http://schemas.microsoft.com/office/word/2010/wordprocessingShape">
                    <wps:wsp>
                      <wps:cNvSpPr/>
                      <wps:spPr>
                        <a:xfrm>
                          <a:off x="0" y="0"/>
                          <a:ext cx="1700530" cy="8255"/>
                        </a:xfrm>
                        <a:custGeom>
                          <a:avLst/>
                          <a:gdLst>
                            <a:gd name="A1" fmla="val 0"/>
                            <a:gd name="A2" fmla="val 0"/>
                            <a:gd name="A3" fmla="val 0"/>
                          </a:gdLst>
                          <a:ahLst/>
                          <a:cxnLst/>
                          <a:pathLst>
                            <a:path w="2678" h="13">
                              <a:moveTo>
                                <a:pt x="0" y="13"/>
                              </a:moveTo>
                              <a:lnTo>
                                <a:pt x="2678" y="0"/>
                              </a:lnTo>
                            </a:path>
                          </a:pathLst>
                        </a:custGeom>
                        <a:noFill/>
                        <a:ln w="9525" cap="flat" cmpd="sng">
                          <a:solidFill>
                            <a:srgbClr val="000000"/>
                          </a:solidFill>
                          <a:prstDash val="solid"/>
                          <a:round/>
                          <a:headEnd type="none" w="med" len="med"/>
                          <a:tailEnd type="none" w="med" len="med"/>
                        </a:ln>
                      </wps:spPr>
                      <wps:txbx>
                        <w:txbxContent>
                          <w:p w14:paraId="210BC005"/>
                        </w:txbxContent>
                      </wps:txbx>
                      <wps:bodyPr upright="1"/>
                    </wps:wsp>
                  </a:graphicData>
                </a:graphic>
              </wp:anchor>
            </w:drawing>
          </mc:Choice>
          <mc:Fallback>
            <w:pict>
              <v:shape id="自选图形 34" o:spid="_x0000_s1026" o:spt="100" style="position:absolute;left:0pt;margin-left:275.6pt;margin-top:24.3pt;height:0.65pt;width:133.9pt;z-index:251666432;mso-width-relative:page;mso-height-relative:page;" filled="f" stroked="t" coordsize="2678,13" o:gfxdata="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J9DRtkAAAAJAQAADwAAAAAAAAABACAAAAAiAAAAZHJzL2Rvd25yZXYueG1sUEsBAhQAFAAAAAgA&#10;h07iQCvAgENdAgAAAwUAAA4AAAAAAAAAAQAgAAAAKAEAAGRycy9lMm9Eb2MueG1sUEsFBgAAAAAG&#10;AAYAWQEAAPcFAAAAAA==&#10;" path="m0,13l2678,0e">
                <v:path textboxrect="0,0,2678,13"/>
                <v:fill on="f" focussize="0,0"/>
                <v:stroke color="#000000" joinstyle="round"/>
                <v:imagedata o:title=""/>
                <o:lock v:ext="edit" aspectratio="f"/>
                <v:textbox>
                  <w:txbxContent>
                    <w:p w14:paraId="210BC005"/>
                  </w:txbxContent>
                </v:textbox>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68480" behindDoc="0" locked="0" layoutInCell="1" allowOverlap="1">
                <wp:simplePos x="0" y="0"/>
                <wp:positionH relativeFrom="column">
                  <wp:posOffset>494665</wp:posOffset>
                </wp:positionH>
                <wp:positionV relativeFrom="paragraph">
                  <wp:posOffset>316865</wp:posOffset>
                </wp:positionV>
                <wp:extent cx="3810" cy="328930"/>
                <wp:effectExtent l="0" t="0" r="0" b="0"/>
                <wp:wrapNone/>
                <wp:docPr id="5" name="自选图形 33"/>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txbx>
                        <w:txbxContent>
                          <w:p w14:paraId="1A048E93"/>
                        </w:txbxContent>
                      </wps:txbx>
                      <wps:bodyPr upright="1"/>
                    </wps:wsp>
                  </a:graphicData>
                </a:graphic>
              </wp:anchor>
            </w:drawing>
          </mc:Choice>
          <mc:Fallback>
            <w:pict>
              <v:shape id="自选图形 33" o:spid="_x0000_s1026" o:spt="100" style="position:absolute;left:0pt;margin-left:38.95pt;margin-top:24.95pt;height:25.9pt;width:0.3pt;z-index:251668480;mso-width-relative:page;mso-height-relative:page;" filled="f" stroked="t" coordsize="6,518" o:gfxdata="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QIs0PV&#10;AAAACAEAAA8AAAAAAAAAAQAgAAAAIgAAAGRycy9kb3ducmV2LnhtbFBLAQIUABQAAAAIAIdO4kBN&#10;MEAyXAIAAP4EAAAOAAAAAAAAAAEAIAAAACQBAABkcnMvZTJvRG9jLnhtbFBLBQYAAAAABgAGAFkB&#10;AADyBQAAAAA=&#10;" path="m6,0l0,518e">
                <v:path textboxrect="0,0,6,518"/>
                <v:fill on="f" focussize="0,0"/>
                <v:stroke color="#000000" joinstyle="round"/>
                <v:imagedata o:title=""/>
                <o:lock v:ext="edit" aspectratio="f"/>
                <v:textbox>
                  <w:txbxContent>
                    <w:p w14:paraId="1A048E93"/>
                  </w:txbxContent>
                </v:textbox>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65408" behindDoc="0" locked="0" layoutInCell="1" allowOverlap="1">
                <wp:simplePos x="0" y="0"/>
                <wp:positionH relativeFrom="column">
                  <wp:posOffset>501650</wp:posOffset>
                </wp:positionH>
                <wp:positionV relativeFrom="paragraph">
                  <wp:posOffset>320675</wp:posOffset>
                </wp:positionV>
                <wp:extent cx="1600200" cy="0"/>
                <wp:effectExtent l="0" t="0" r="0" b="0"/>
                <wp:wrapNone/>
                <wp:docPr id="536" name="直接连接符 536"/>
                <wp:cNvGraphicFramePr/>
                <a:graphic xmlns:a="http://schemas.openxmlformats.org/drawingml/2006/main">
                  <a:graphicData uri="http://schemas.microsoft.com/office/word/2010/wordprocessingShape">
                    <wps:wsp>
                      <wps:cNvCnPr/>
                      <wps:spPr>
                        <a:xfrm flipH="1">
                          <a:off x="0" y="0"/>
                          <a:ext cx="16002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9.5pt;margin-top:25.25pt;height:0pt;width:126pt;z-index:251665408;mso-width-relative:page;mso-height-relative:page;" filled="f" stroked="t" coordsize="21600,21600" o:gfxdata="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PBNv1QAAAAgBAAAPAAAAAAAAAAEAIAAAACIAAABkcnMvZG93&#10;bnJldi54bWxQSwECFAAUAAAACACHTuJAFCvXgAMCAAAABAAADgAAAAAAAAABACAAAAAkAQAAZHJz&#10;L2Uyb0RvYy54bWxQSwUGAAAAAAYABgBZAQAAmQUAAAAA&#10;">
                <v:fill on="f" focussize="0,0"/>
                <v:stroke color="#000000" joinstyle="round"/>
                <v:imagedata o:title=""/>
                <o:lock v:ext="edit" aspectratio="f"/>
              </v:lin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62336" behindDoc="0" locked="0" layoutInCell="1" allowOverlap="1">
                <wp:simplePos x="0" y="0"/>
                <wp:positionH relativeFrom="column">
                  <wp:posOffset>2101850</wp:posOffset>
                </wp:positionH>
                <wp:positionV relativeFrom="paragraph">
                  <wp:posOffset>88900</wp:posOffset>
                </wp:positionV>
                <wp:extent cx="1398270" cy="450850"/>
                <wp:effectExtent l="4445" t="5080" r="6985" b="20320"/>
                <wp:wrapNone/>
                <wp:docPr id="537" name="矩形 537"/>
                <wp:cNvGraphicFramePr/>
                <a:graphic xmlns:a="http://schemas.openxmlformats.org/drawingml/2006/main">
                  <a:graphicData uri="http://schemas.microsoft.com/office/word/2010/wordprocessingShape">
                    <wps:wsp>
                      <wps:cNvSpPr/>
                      <wps:spPr>
                        <a:xfrm>
                          <a:off x="0" y="0"/>
                          <a:ext cx="1398270" cy="450850"/>
                        </a:xfrm>
                        <a:prstGeom prst="rect">
                          <a:avLst/>
                        </a:prstGeom>
                        <a:noFill/>
                        <a:ln w="9525" cap="flat" cmpd="sng">
                          <a:solidFill>
                            <a:srgbClr val="000000"/>
                          </a:solidFill>
                          <a:prstDash val="solid"/>
                          <a:miter/>
                          <a:headEnd type="none" w="med" len="med"/>
                          <a:tailEnd type="none" w="med" len="med"/>
                        </a:ln>
                        <a:effectLst/>
                      </wps:spPr>
                      <wps:txbx>
                        <w:txbxContent>
                          <w:p w14:paraId="7030C734">
                            <w:pPr>
                              <w:autoSpaceDE w:val="0"/>
                              <w:autoSpaceDN w:val="0"/>
                              <w:adjustRightInd w:val="0"/>
                              <w:spacing w:before="120" w:beforeLines="50"/>
                              <w:rPr>
                                <w:rFonts w:ascii="仿宋_GB2312" w:hAnsi="仿宋" w:eastAsia="仿宋_GB2312"/>
                                <w:spacing w:val="-6"/>
                                <w:kern w:val="0"/>
                                <w:sz w:val="24"/>
                                <w:szCs w:val="24"/>
                              </w:rPr>
                            </w:pPr>
                            <w:r>
                              <w:rPr>
                                <w:rFonts w:hint="eastAsia" w:ascii="仿宋_GB2312" w:hAnsi="仿宋" w:eastAsia="仿宋_GB2312"/>
                                <w:spacing w:val="-6"/>
                                <w:kern w:val="0"/>
                                <w:sz w:val="24"/>
                                <w:szCs w:val="24"/>
                              </w:rPr>
                              <w:t>区抗震救灾指挥部</w:t>
                            </w:r>
                          </w:p>
                        </w:txbxContent>
                      </wps:txbx>
                      <wps:bodyPr upright="1"/>
                    </wps:wsp>
                  </a:graphicData>
                </a:graphic>
              </wp:anchor>
            </w:drawing>
          </mc:Choice>
          <mc:Fallback>
            <w:pict>
              <v:rect id="_x0000_s1026" o:spid="_x0000_s1026" o:spt="1" style="position:absolute;left:0pt;margin-left:165.5pt;margin-top:7pt;height:35.5pt;width:110.1pt;z-index:251662336;mso-width-relative:page;mso-height-relative:page;" filled="f" stroked="t" coordsize="21600,21600" o:gfxdata="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5+0UtcAAAAJAQAADwAAAAAAAAABACAAAAAiAAAAZHJz&#10;L2Rvd25yZXYueG1sUEsBAhQAFAAAAAgAh07iQJ9hAz4FAgAAEgQAAA4AAAAAAAAAAQAgAAAAJgEA&#10;AGRycy9lMm9Eb2MueG1sUEsFBgAAAAAGAAYAWQEAAJ0FAAAAAA==&#10;">
                <v:fill on="f" focussize="0,0"/>
                <v:stroke color="#000000" joinstyle="miter"/>
                <v:imagedata o:title=""/>
                <o:lock v:ext="edit" aspectratio="f"/>
                <v:textbox>
                  <w:txbxContent>
                    <w:p w14:paraId="7030C734">
                      <w:pPr>
                        <w:autoSpaceDE w:val="0"/>
                        <w:autoSpaceDN w:val="0"/>
                        <w:adjustRightInd w:val="0"/>
                        <w:spacing w:before="120" w:beforeLines="50"/>
                        <w:rPr>
                          <w:rFonts w:ascii="仿宋_GB2312" w:hAnsi="仿宋" w:eastAsia="仿宋_GB2312"/>
                          <w:spacing w:val="-6"/>
                          <w:kern w:val="0"/>
                          <w:sz w:val="24"/>
                          <w:szCs w:val="24"/>
                        </w:rPr>
                      </w:pPr>
                      <w:r>
                        <w:rPr>
                          <w:rFonts w:hint="eastAsia" w:ascii="仿宋_GB2312" w:hAnsi="仿宋" w:eastAsia="仿宋_GB2312"/>
                          <w:spacing w:val="-6"/>
                          <w:kern w:val="0"/>
                          <w:sz w:val="24"/>
                          <w:szCs w:val="24"/>
                        </w:rPr>
                        <w:t>区抗震救灾指挥部</w:t>
                      </w:r>
                    </w:p>
                  </w:txbxContent>
                </v:textbox>
              </v:rect>
            </w:pict>
          </mc:Fallback>
        </mc:AlternateContent>
      </w:r>
    </w:p>
    <w:p w14:paraId="66D78E7D">
      <w:pPr>
        <w:autoSpaceDE w:val="0"/>
        <w:autoSpaceDN w:val="0"/>
        <w:adjustRightInd w:val="0"/>
        <w:spacing w:line="570" w:lineRule="exact"/>
        <w:ind w:firstLine="624"/>
        <w:jc w:val="left"/>
        <w:rPr>
          <w:rFonts w:ascii="Times New Roman" w:hAnsi="Times New Roman" w:eastAsia="仿宋_GB2312"/>
          <w:kern w:val="0"/>
          <w:sz w:val="32"/>
          <w:szCs w:val="32"/>
        </w:rPr>
      </w:pPr>
      <w:r>
        <w:rPr>
          <w:rFonts w:ascii="Times New Roman" w:hAnsi="Times New Roman" w:eastAsia="仿宋_GB2312"/>
          <w:kern w:val="0"/>
          <w:sz w:val="32"/>
          <w:szCs w:val="32"/>
        </w:rPr>
        <mc:AlternateContent>
          <mc:Choice Requires="wps">
            <w:drawing>
              <wp:anchor distT="0" distB="0" distL="114300" distR="114300" simplePos="0" relativeHeight="251664384" behindDoc="0" locked="0" layoutInCell="1" allowOverlap="1">
                <wp:simplePos x="0" y="0"/>
                <wp:positionH relativeFrom="column">
                  <wp:posOffset>4373245</wp:posOffset>
                </wp:positionH>
                <wp:positionV relativeFrom="paragraph">
                  <wp:posOffset>288925</wp:posOffset>
                </wp:positionV>
                <wp:extent cx="1398270" cy="561975"/>
                <wp:effectExtent l="4445" t="4445" r="6985" b="5080"/>
                <wp:wrapNone/>
                <wp:docPr id="535" name="矩形 535"/>
                <wp:cNvGraphicFramePr/>
                <a:graphic xmlns:a="http://schemas.openxmlformats.org/drawingml/2006/main">
                  <a:graphicData uri="http://schemas.microsoft.com/office/word/2010/wordprocessingShape">
                    <wps:wsp>
                      <wps:cNvSpPr/>
                      <wps:spPr>
                        <a:xfrm>
                          <a:off x="0" y="0"/>
                          <a:ext cx="1398270" cy="561975"/>
                        </a:xfrm>
                        <a:prstGeom prst="rect">
                          <a:avLst/>
                        </a:prstGeom>
                        <a:noFill/>
                        <a:ln w="9525" cap="flat" cmpd="sng">
                          <a:solidFill>
                            <a:srgbClr val="000000"/>
                          </a:solidFill>
                          <a:prstDash val="solid"/>
                          <a:miter/>
                          <a:headEnd type="none" w="med" len="med"/>
                          <a:tailEnd type="none" w="med" len="med"/>
                        </a:ln>
                        <a:effectLst/>
                      </wps:spPr>
                      <wps:txbx>
                        <w:txbxContent>
                          <w:p w14:paraId="72EF65BC">
                            <w:pPr>
                              <w:autoSpaceDE w:val="0"/>
                              <w:autoSpaceDN w:val="0"/>
                              <w:snapToGrid w:val="0"/>
                              <w:spacing w:before="24" w:beforeLines="10"/>
                              <w:rPr>
                                <w:rFonts w:ascii="仿宋_GB2312" w:hAnsi="仿宋" w:eastAsia="仿宋_GB2312"/>
                                <w:kern w:val="0"/>
                                <w:sz w:val="24"/>
                                <w:szCs w:val="24"/>
                              </w:rPr>
                            </w:pPr>
                            <w:r>
                              <w:rPr>
                                <w:rFonts w:hint="eastAsia" w:ascii="仿宋_GB2312" w:hAnsi="仿宋" w:eastAsia="仿宋_GB2312"/>
                                <w:kern w:val="0"/>
                                <w:sz w:val="24"/>
                                <w:szCs w:val="24"/>
                              </w:rPr>
                              <w:t>区抗震救灾指挥部办公室</w:t>
                            </w:r>
                          </w:p>
                        </w:txbxContent>
                      </wps:txbx>
                      <wps:bodyPr upright="1"/>
                    </wps:wsp>
                  </a:graphicData>
                </a:graphic>
              </wp:anchor>
            </w:drawing>
          </mc:Choice>
          <mc:Fallback>
            <w:pict>
              <v:rect id="_x0000_s1026" o:spid="_x0000_s1026" o:spt="1" style="position:absolute;left:0pt;margin-left:344.35pt;margin-top:22.75pt;height:44.25pt;width:110.1pt;z-index:251664384;mso-width-relative:page;mso-height-relative:page;" filled="f" stroked="t" coordsize="21600,21600" o:gfxdata="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91yndgAAAAKAQAADwAAAAAAAAABACAAAAAiAAAAZHJz&#10;L2Rvd25yZXYueG1sUEsBAhQAFAAAAAgAh07iQNBlid0EAgAAEgQAAA4AAAAAAAAAAQAgAAAAJwEA&#10;AGRycy9lMm9Eb2MueG1sUEsFBgAAAAAGAAYAWQEAAJ0FAAAAAA==&#10;">
                <v:fill on="f" focussize="0,0"/>
                <v:stroke color="#000000" joinstyle="miter"/>
                <v:imagedata o:title=""/>
                <o:lock v:ext="edit" aspectratio="f"/>
                <v:textbox>
                  <w:txbxContent>
                    <w:p w14:paraId="72EF65BC">
                      <w:pPr>
                        <w:autoSpaceDE w:val="0"/>
                        <w:autoSpaceDN w:val="0"/>
                        <w:snapToGrid w:val="0"/>
                        <w:spacing w:before="24" w:beforeLines="10"/>
                        <w:rPr>
                          <w:rFonts w:ascii="仿宋_GB2312" w:hAnsi="仿宋" w:eastAsia="仿宋_GB2312"/>
                          <w:kern w:val="0"/>
                          <w:sz w:val="24"/>
                          <w:szCs w:val="24"/>
                        </w:rPr>
                      </w:pPr>
                      <w:r>
                        <w:rPr>
                          <w:rFonts w:hint="eastAsia" w:ascii="仿宋_GB2312" w:hAnsi="仿宋" w:eastAsia="仿宋_GB2312"/>
                          <w:kern w:val="0"/>
                          <w:sz w:val="24"/>
                          <w:szCs w:val="24"/>
                        </w:rPr>
                        <w:t>区抗震救灾指挥部办公室</w:t>
                      </w:r>
                    </w:p>
                  </w:txbxContent>
                </v:textbox>
              </v:rect>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0528" behindDoc="0" locked="0" layoutInCell="1" allowOverlap="1">
                <wp:simplePos x="0" y="0"/>
                <wp:positionH relativeFrom="column">
                  <wp:posOffset>2799715</wp:posOffset>
                </wp:positionH>
                <wp:positionV relativeFrom="paragraph">
                  <wp:posOffset>184150</wp:posOffset>
                </wp:positionV>
                <wp:extent cx="635" cy="894715"/>
                <wp:effectExtent l="0" t="0" r="0" b="0"/>
                <wp:wrapNone/>
                <wp:docPr id="7" name="自选图形 29"/>
                <wp:cNvGraphicFramePr/>
                <a:graphic xmlns:a="http://schemas.openxmlformats.org/drawingml/2006/main">
                  <a:graphicData uri="http://schemas.microsoft.com/office/word/2010/wordprocessingShape">
                    <wps:wsp>
                      <wps:cNvSpPr/>
                      <wps:spPr>
                        <a:xfrm>
                          <a:off x="0" y="0"/>
                          <a:ext cx="635" cy="894715"/>
                        </a:xfrm>
                        <a:custGeom>
                          <a:avLst/>
                          <a:gdLst>
                            <a:gd name="A1" fmla="val 0"/>
                            <a:gd name="A2" fmla="val 0"/>
                            <a:gd name="A3" fmla="val 0"/>
                          </a:gdLst>
                          <a:ahLst/>
                          <a:cxnLst/>
                          <a:pathLst>
                            <a:path w="1" h="1409">
                              <a:moveTo>
                                <a:pt x="1" y="0"/>
                              </a:moveTo>
                              <a:lnTo>
                                <a:pt x="0" y="1409"/>
                              </a:lnTo>
                            </a:path>
                          </a:pathLst>
                        </a:custGeom>
                        <a:noFill/>
                        <a:ln w="9525" cap="flat" cmpd="sng">
                          <a:solidFill>
                            <a:srgbClr val="000000"/>
                          </a:solidFill>
                          <a:prstDash val="solid"/>
                          <a:round/>
                          <a:headEnd type="none" w="med" len="med"/>
                          <a:tailEnd type="none" w="med" len="med"/>
                        </a:ln>
                      </wps:spPr>
                      <wps:txbx>
                        <w:txbxContent>
                          <w:p w14:paraId="4CF81624"/>
                        </w:txbxContent>
                      </wps:txbx>
                      <wps:bodyPr upright="1"/>
                    </wps:wsp>
                  </a:graphicData>
                </a:graphic>
              </wp:anchor>
            </w:drawing>
          </mc:Choice>
          <mc:Fallback>
            <w:pict>
              <v:shape id="自选图形 29" o:spid="_x0000_s1026" o:spt="100" style="position:absolute;left:0pt;margin-left:220.45pt;margin-top:14.5pt;height:70.45pt;width:0.05pt;z-index:251670528;mso-width-relative:page;mso-height-relative:page;" filled="f" stroked="t" coordsize="1,1409" o:gfxdata="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fUeLTYAAAACgEAAA8AAAAAAAAAAQAgAAAAIgAAAGRycy9kb3ducmV2LnhtbFBLAQIUABQAAAAI&#10;AIdO4kBh7wMiXwIAAP8EAAAOAAAAAAAAAAEAIAAAACcBAABkcnMvZTJvRG9jLnhtbFBLBQYAAAAA&#10;BgAGAFkBAAD4BQAAAAA=&#10;" path="m1,0l0,1409e">
                <v:path textboxrect="0,0,1,1409"/>
                <v:fill on="f" focussize="0,0"/>
                <v:stroke color="#000000" joinstyle="round"/>
                <v:imagedata o:title=""/>
                <o:lock v:ext="edit" aspectratio="f"/>
                <v:textbox>
                  <w:txbxContent>
                    <w:p w14:paraId="4CF81624"/>
                  </w:txbxContent>
                </v:textbox>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63360" behindDoc="0" locked="0" layoutInCell="1" allowOverlap="1">
                <wp:simplePos x="0" y="0"/>
                <wp:positionH relativeFrom="column">
                  <wp:posOffset>-200025</wp:posOffset>
                </wp:positionH>
                <wp:positionV relativeFrom="paragraph">
                  <wp:posOffset>278765</wp:posOffset>
                </wp:positionV>
                <wp:extent cx="1398270" cy="561975"/>
                <wp:effectExtent l="4445" t="4445" r="6985" b="5080"/>
                <wp:wrapNone/>
                <wp:docPr id="534" name="矩形 534"/>
                <wp:cNvGraphicFramePr/>
                <a:graphic xmlns:a="http://schemas.openxmlformats.org/drawingml/2006/main">
                  <a:graphicData uri="http://schemas.microsoft.com/office/word/2010/wordprocessingShape">
                    <wps:wsp>
                      <wps:cNvSpPr/>
                      <wps:spPr>
                        <a:xfrm>
                          <a:off x="0" y="0"/>
                          <a:ext cx="1398270" cy="561975"/>
                        </a:xfrm>
                        <a:prstGeom prst="rect">
                          <a:avLst/>
                        </a:prstGeom>
                        <a:noFill/>
                        <a:ln w="9525" cap="flat" cmpd="sng">
                          <a:solidFill>
                            <a:srgbClr val="000000"/>
                          </a:solidFill>
                          <a:prstDash val="solid"/>
                          <a:miter/>
                          <a:headEnd type="none" w="med" len="med"/>
                          <a:tailEnd type="none" w="med" len="med"/>
                        </a:ln>
                        <a:effectLst/>
                      </wps:spPr>
                      <wps:txbx>
                        <w:txbxContent>
                          <w:p w14:paraId="37CA5C74">
                            <w:pPr>
                              <w:autoSpaceDE w:val="0"/>
                              <w:autoSpaceDN w:val="0"/>
                              <w:adjustRightInd w:val="0"/>
                              <w:rPr>
                                <w:rFonts w:ascii="仿宋_GB2312" w:hAnsi="仿宋" w:eastAsia="仿宋_GB2312"/>
                                <w:kern w:val="0"/>
                                <w:sz w:val="24"/>
                                <w:szCs w:val="24"/>
                              </w:rPr>
                            </w:pPr>
                            <w:r>
                              <w:rPr>
                                <w:rFonts w:hint="eastAsia" w:ascii="仿宋_GB2312" w:hAnsi="仿宋" w:eastAsia="仿宋_GB2312"/>
                                <w:kern w:val="0"/>
                                <w:sz w:val="24"/>
                                <w:szCs w:val="24"/>
                              </w:rPr>
                              <w:t>地震现场指挥部</w:t>
                            </w:r>
                          </w:p>
                        </w:txbxContent>
                      </wps:txbx>
                      <wps:bodyPr upright="1"/>
                    </wps:wsp>
                  </a:graphicData>
                </a:graphic>
              </wp:anchor>
            </w:drawing>
          </mc:Choice>
          <mc:Fallback>
            <w:pict>
              <v:rect id="_x0000_s1026" o:spid="_x0000_s1026" o:spt="1" style="position:absolute;left:0pt;margin-left:-15.75pt;margin-top:21.95pt;height:44.25pt;width:110.1pt;z-index:251663360;mso-width-relative:page;mso-height-relative:page;" filled="f" stroked="t" coordsize="21600,21600" o:gfxdata="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rLDW7ZAAAACgEAAA8AAAAAAAAAAQAgAAAAIgAAAGRy&#10;cy9kb3ducmV2LnhtbFBLAQIUABQAAAAIAIdO4kCP6wX0BAIAABIEAAAOAAAAAAAAAAEAIAAAACgB&#10;AABkcnMvZTJvRG9jLnhtbFBLBQYAAAAABgAGAFkBAACeBQAAAAA=&#10;">
                <v:fill on="f" focussize="0,0"/>
                <v:stroke color="#000000" joinstyle="miter"/>
                <v:imagedata o:title=""/>
                <o:lock v:ext="edit" aspectratio="f"/>
                <v:textbox>
                  <w:txbxContent>
                    <w:p w14:paraId="37CA5C74">
                      <w:pPr>
                        <w:autoSpaceDE w:val="0"/>
                        <w:autoSpaceDN w:val="0"/>
                        <w:adjustRightInd w:val="0"/>
                        <w:rPr>
                          <w:rFonts w:ascii="仿宋_GB2312" w:hAnsi="仿宋" w:eastAsia="仿宋_GB2312"/>
                          <w:kern w:val="0"/>
                          <w:sz w:val="24"/>
                          <w:szCs w:val="24"/>
                        </w:rPr>
                      </w:pPr>
                      <w:r>
                        <w:rPr>
                          <w:rFonts w:hint="eastAsia" w:ascii="仿宋_GB2312" w:hAnsi="仿宋" w:eastAsia="仿宋_GB2312"/>
                          <w:kern w:val="0"/>
                          <w:sz w:val="24"/>
                          <w:szCs w:val="24"/>
                        </w:rPr>
                        <w:t>地震现场指挥部</w:t>
                      </w:r>
                    </w:p>
                  </w:txbxContent>
                </v:textbox>
              </v:rect>
            </w:pict>
          </mc:Fallback>
        </mc:AlternateContent>
      </w:r>
    </w:p>
    <w:p w14:paraId="3512DE32">
      <w:pPr>
        <w:autoSpaceDE w:val="0"/>
        <w:autoSpaceDN w:val="0"/>
        <w:adjustRightInd w:val="0"/>
        <w:spacing w:line="570" w:lineRule="exact"/>
        <w:ind w:firstLine="624"/>
        <w:jc w:val="left"/>
        <w:rPr>
          <w:rFonts w:ascii="Times New Roman" w:hAnsi="Times New Roman" w:eastAsia="仿宋_GB2312"/>
          <w:kern w:val="0"/>
          <w:sz w:val="32"/>
          <w:szCs w:val="32"/>
        </w:rPr>
      </w:pPr>
    </w:p>
    <w:p w14:paraId="70BFBFC2">
      <w:pPr>
        <w:autoSpaceDE w:val="0"/>
        <w:autoSpaceDN w:val="0"/>
        <w:adjustRightInd w:val="0"/>
        <w:spacing w:line="570" w:lineRule="exact"/>
        <w:ind w:firstLine="624"/>
        <w:jc w:val="left"/>
        <w:rPr>
          <w:rFonts w:ascii="Times New Roman" w:hAnsi="Times New Roman" w:eastAsia="仿宋_GB2312"/>
          <w:kern w:val="0"/>
          <w:sz w:val="32"/>
          <w:szCs w:val="32"/>
        </w:rPr>
      </w:pPr>
      <w:r>
        <w:rPr>
          <w:rFonts w:ascii="Times New Roman" w:hAnsi="Times New Roman" w:eastAsia="仿宋_GB2312"/>
          <w:kern w:val="0"/>
          <w:sz w:val="32"/>
          <w:szCs w:val="32"/>
        </w:rPr>
        <mc:AlternateContent>
          <mc:Choice Requires="wps">
            <w:drawing>
              <wp:anchor distT="0" distB="0" distL="114300" distR="114300" simplePos="0" relativeHeight="251680768" behindDoc="0" locked="0" layoutInCell="1" allowOverlap="1">
                <wp:simplePos x="0" y="0"/>
                <wp:positionH relativeFrom="column">
                  <wp:posOffset>501650</wp:posOffset>
                </wp:positionH>
                <wp:positionV relativeFrom="paragraph">
                  <wp:posOffset>357505</wp:posOffset>
                </wp:positionV>
                <wp:extent cx="3810" cy="328930"/>
                <wp:effectExtent l="0" t="0" r="0" b="0"/>
                <wp:wrapNone/>
                <wp:docPr id="9" name="自选图形 27"/>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7" o:spid="_x0000_s1026" o:spt="100" style="position:absolute;left:0pt;margin-left:39.5pt;margin-top:28.15pt;height:25.9pt;width:0.3pt;z-index:251680768;mso-width-relative:page;mso-height-relative:page;" filled="f" stroked="t" coordsize="6,518" o:gfxdata="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Y1zy2AAA&#10;AAgBAAAPAAAAAAAAAAEAIAAAACIAAABkcnMvZG93bnJldi54bWxQSwECFAAUAAAACACHTuJA1Vo/&#10;slcCAADzBAAADgAAAAAAAAABACAAAAAnAQAAZHJzL2Uyb0RvYy54bWxQSwUGAAAAAAYABgBZAQAA&#10;8AUAAAAA&#10;" path="m6,0l0,518e">
                <v:fill on="f" focussize="0,0"/>
                <v:stroke color="#000000" joinstyle="round"/>
                <v:imagedata o:title=""/>
                <o:lock v:ext="edit" aspectratio="f"/>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81792" behindDoc="0" locked="0" layoutInCell="1" allowOverlap="1">
                <wp:simplePos x="0" y="0"/>
                <wp:positionH relativeFrom="column">
                  <wp:posOffset>1951990</wp:posOffset>
                </wp:positionH>
                <wp:positionV relativeFrom="paragraph">
                  <wp:posOffset>357505</wp:posOffset>
                </wp:positionV>
                <wp:extent cx="3810" cy="328930"/>
                <wp:effectExtent l="0" t="0" r="0" b="0"/>
                <wp:wrapNone/>
                <wp:docPr id="10" name="自选图形 26"/>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6" o:spid="_x0000_s1026" o:spt="100" style="position:absolute;left:0pt;margin-left:153.7pt;margin-top:28.15pt;height:25.9pt;width:0.3pt;z-index:251681792;mso-width-relative:page;mso-height-relative:page;" filled="f" stroked="t" coordsize="6,518" o:gfxdata="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AmdidkA&#10;AAAKAQAADwAAAAAAAAABACAAAAAiAAAAZHJzL2Rvd25yZXYueG1sUEsBAhQAFAAAAAgAh07iQPPq&#10;17VXAgAA9AQAAA4AAAAAAAAAAQAgAAAAKAEAAGRycy9lMm9Eb2MueG1sUEsFBgAAAAAGAAYAWQEA&#10;APEFAAAAAA==&#10;" path="m6,0l0,518e">
                <v:fill on="f" focussize="0,0"/>
                <v:stroke color="#000000" joinstyle="round"/>
                <v:imagedata o:title=""/>
                <o:lock v:ext="edit" aspectratio="f"/>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67456" behindDoc="0" locked="0" layoutInCell="1" allowOverlap="1">
                <wp:simplePos x="0" y="0"/>
                <wp:positionH relativeFrom="column">
                  <wp:posOffset>-200025</wp:posOffset>
                </wp:positionH>
                <wp:positionV relativeFrom="paragraph">
                  <wp:posOffset>360045</wp:posOffset>
                </wp:positionV>
                <wp:extent cx="5771515" cy="4445"/>
                <wp:effectExtent l="0" t="0" r="0" b="0"/>
                <wp:wrapNone/>
                <wp:docPr id="4" name="自选图形 25"/>
                <wp:cNvGraphicFramePr/>
                <a:graphic xmlns:a="http://schemas.openxmlformats.org/drawingml/2006/main">
                  <a:graphicData uri="http://schemas.microsoft.com/office/word/2010/wordprocessingShape">
                    <wps:wsp>
                      <wps:cNvSpPr/>
                      <wps:spPr>
                        <a:xfrm>
                          <a:off x="0" y="0"/>
                          <a:ext cx="5771515" cy="4445"/>
                        </a:xfrm>
                        <a:custGeom>
                          <a:avLst/>
                          <a:gdLst>
                            <a:gd name="A1" fmla="val 0"/>
                            <a:gd name="A2" fmla="val 0"/>
                            <a:gd name="A3" fmla="val 0"/>
                          </a:gdLst>
                          <a:ahLst/>
                          <a:cxnLst/>
                          <a:pathLst>
                            <a:path w="9089" h="7">
                              <a:moveTo>
                                <a:pt x="0" y="0"/>
                              </a:moveTo>
                              <a:lnTo>
                                <a:pt x="9089" y="7"/>
                              </a:lnTo>
                            </a:path>
                          </a:pathLst>
                        </a:custGeom>
                        <a:noFill/>
                        <a:ln w="9525" cap="flat" cmpd="sng">
                          <a:solidFill>
                            <a:srgbClr val="000000"/>
                          </a:solidFill>
                          <a:prstDash val="solid"/>
                          <a:round/>
                          <a:headEnd type="none" w="med" len="med"/>
                          <a:tailEnd type="none" w="med" len="med"/>
                        </a:ln>
                      </wps:spPr>
                      <wps:txbx>
                        <w:txbxContent>
                          <w:p w14:paraId="7E37209E"/>
                        </w:txbxContent>
                      </wps:txbx>
                      <wps:bodyPr upright="1"/>
                    </wps:wsp>
                  </a:graphicData>
                </a:graphic>
              </wp:anchor>
            </w:drawing>
          </mc:Choice>
          <mc:Fallback>
            <w:pict>
              <v:shape id="自选图形 25" o:spid="_x0000_s1026" o:spt="100" style="position:absolute;left:0pt;margin-left:-15.75pt;margin-top:28.35pt;height:0.35pt;width:454.45pt;z-index:251667456;mso-width-relative:page;mso-height-relative:page;" filled="f" stroked="t" coordsize="9089,7" o:gfxdata="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4WhJ9&#10;1wAAAAkBAAAPAAAAAAAAAAEAIAAAACIAAABkcnMvZG93bnJldi54bWxQSwECFAAUAAAACACHTuJA&#10;Fb2fd1sCAAABBQAADgAAAAAAAAABACAAAAAmAQAAZHJzL2Uyb0RvYy54bWxQSwUGAAAAAAYABgBZ&#10;AQAA8wUAAAAA&#10;" path="m0,0l9089,7e">
                <v:path textboxrect="0,0,9089,7"/>
                <v:fill on="f" focussize="0,0"/>
                <v:stroke color="#000000" joinstyle="round"/>
                <v:imagedata o:title=""/>
                <o:lock v:ext="edit" aspectratio="f"/>
                <v:textbox>
                  <w:txbxContent>
                    <w:p w14:paraId="7E37209E"/>
                  </w:txbxContent>
                </v:textbox>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83840" behindDoc="0" locked="0" layoutInCell="1" allowOverlap="1">
                <wp:simplePos x="0" y="0"/>
                <wp:positionH relativeFrom="column">
                  <wp:posOffset>5570220</wp:posOffset>
                </wp:positionH>
                <wp:positionV relativeFrom="paragraph">
                  <wp:posOffset>357505</wp:posOffset>
                </wp:positionV>
                <wp:extent cx="3810" cy="328930"/>
                <wp:effectExtent l="0" t="0" r="0" b="0"/>
                <wp:wrapNone/>
                <wp:docPr id="12" name="自选图形 24"/>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4" o:spid="_x0000_s1026" o:spt="100" style="position:absolute;left:0pt;margin-left:438.6pt;margin-top:28.15pt;height:25.9pt;width:0.3pt;z-index:251683840;mso-width-relative:page;mso-height-relative:page;" filled="f" stroked="t" coordsize="6,518" o:gfxdata="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llGcPY&#10;AAAACgEAAA8AAAAAAAAAAQAgAAAAIgAAAGRycy9kb3ducmV2LnhtbFBLAQIUABQAAAAIAIdO4kB6&#10;/m7aWQIAAPQEAAAOAAAAAAAAAAEAIAAAACcBAABkcnMvZTJvRG9jLnhtbFBLBQYAAAAABgAGAFkB&#10;AADyBQAAAAA=&#10;" path="m6,0l0,518e">
                <v:fill on="f" focussize="0,0"/>
                <v:stroke color="#000000" joinstyle="round"/>
                <v:imagedata o:title=""/>
                <o:lock v:ext="edit" aspectratio="f"/>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9744" behindDoc="0" locked="0" layoutInCell="1" allowOverlap="1">
                <wp:simplePos x="0" y="0"/>
                <wp:positionH relativeFrom="column">
                  <wp:posOffset>-203835</wp:posOffset>
                </wp:positionH>
                <wp:positionV relativeFrom="paragraph">
                  <wp:posOffset>357505</wp:posOffset>
                </wp:positionV>
                <wp:extent cx="3810" cy="328930"/>
                <wp:effectExtent l="0" t="0" r="0" b="0"/>
                <wp:wrapNone/>
                <wp:docPr id="8" name="自选图形 23"/>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3" o:spid="_x0000_s1026" o:spt="100" style="position:absolute;left:0pt;margin-left:-16.05pt;margin-top:28.15pt;height:25.9pt;width:0.3pt;z-index:251679744;mso-width-relative:page;mso-height-relative:page;" filled="f" stroked="t" coordsize="6,518" o:gfxdata="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CZ6ztkA&#10;AAAKAQAADwAAAAAAAAABACAAAAAiAAAAZHJzL2Rvd25yZXYueG1sUEsBAhQAFAAAAAgAh07iQGPS&#10;1UlXAgAA8wQAAA4AAAAAAAAAAQAgAAAAKAEAAGRycy9lMm9Eb2MueG1sUEsFBgAAAAAGAAYAWQEA&#10;APEFAAAAAA==&#10;" path="m6,0l0,518e">
                <v:fill on="f" focussize="0,0"/>
                <v:stroke color="#000000" joinstyle="round"/>
                <v:imagedata o:title=""/>
                <o:lock v:ext="edit" aspectratio="f"/>
              </v:shape>
            </w:pict>
          </mc:Fallback>
        </mc:AlternateContent>
      </w:r>
    </w:p>
    <w:p w14:paraId="318FF1F3">
      <w:pPr>
        <w:autoSpaceDE w:val="0"/>
        <w:autoSpaceDN w:val="0"/>
        <w:adjustRightInd w:val="0"/>
        <w:spacing w:line="570" w:lineRule="exact"/>
        <w:ind w:firstLine="624"/>
        <w:jc w:val="left"/>
        <w:rPr>
          <w:rFonts w:ascii="Times New Roman" w:hAnsi="Times New Roman" w:eastAsia="仿宋_GB2312"/>
          <w:kern w:val="0"/>
          <w:sz w:val="32"/>
          <w:szCs w:val="32"/>
        </w:rPr>
      </w:pPr>
      <w:r>
        <w:rPr>
          <w:rFonts w:ascii="Times New Roman" w:hAnsi="Times New Roman" w:eastAsia="仿宋_GB2312"/>
          <w:kern w:val="0"/>
          <w:sz w:val="32"/>
          <w:szCs w:val="32"/>
        </w:rPr>
        <mc:AlternateContent>
          <mc:Choice Requires="wps">
            <w:drawing>
              <wp:anchor distT="0" distB="0" distL="114300" distR="114300" simplePos="0" relativeHeight="251676672" behindDoc="0" locked="0" layoutInCell="1" allowOverlap="1">
                <wp:simplePos x="0" y="0"/>
                <wp:positionH relativeFrom="column">
                  <wp:posOffset>3228340</wp:posOffset>
                </wp:positionH>
                <wp:positionV relativeFrom="paragraph">
                  <wp:posOffset>328295</wp:posOffset>
                </wp:positionV>
                <wp:extent cx="400050" cy="1990725"/>
                <wp:effectExtent l="4445" t="4445" r="14605" b="5080"/>
                <wp:wrapNone/>
                <wp:docPr id="531" name="矩形 531"/>
                <wp:cNvGraphicFramePr/>
                <a:graphic xmlns:a="http://schemas.openxmlformats.org/drawingml/2006/main">
                  <a:graphicData uri="http://schemas.microsoft.com/office/word/2010/wordprocessingShape">
                    <wps:wsp>
                      <wps:cNvSpPr/>
                      <wps:spPr>
                        <a:xfrm>
                          <a:off x="0" y="0"/>
                          <a:ext cx="400050" cy="1990725"/>
                        </a:xfrm>
                        <a:prstGeom prst="rect">
                          <a:avLst/>
                        </a:prstGeom>
                        <a:noFill/>
                        <a:ln w="9525" cap="flat" cmpd="sng">
                          <a:solidFill>
                            <a:srgbClr val="000000"/>
                          </a:solidFill>
                          <a:prstDash val="solid"/>
                          <a:miter/>
                          <a:headEnd type="none" w="med" len="med"/>
                          <a:tailEnd type="none" w="med" len="med"/>
                        </a:ln>
                        <a:effectLst/>
                      </wps:spPr>
                      <wps:txbx>
                        <w:txbxContent>
                          <w:p w14:paraId="54014DC4">
                            <w:pPr>
                              <w:autoSpaceDE w:val="0"/>
                              <w:autoSpaceDN w:val="0"/>
                              <w:adjustRightInd w:val="0"/>
                              <w:spacing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次生灾害防范处置组</w:t>
                            </w:r>
                          </w:p>
                        </w:txbxContent>
                      </wps:txbx>
                      <wps:bodyPr upright="1"/>
                    </wps:wsp>
                  </a:graphicData>
                </a:graphic>
              </wp:anchor>
            </w:drawing>
          </mc:Choice>
          <mc:Fallback>
            <w:pict>
              <v:rect id="_x0000_s1026" o:spid="_x0000_s1026" o:spt="1" style="position:absolute;left:0pt;margin-left:254.2pt;margin-top:25.85pt;height:156.75pt;width:31.5pt;z-index:251676672;mso-width-relative:page;mso-height-relative:page;" filled="f" stroked="t" coordsize="21600,21600" o:gfxdata="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jd3VrYAAAACgEAAA8AAAAAAAAAAQAgAAAAIgAAAGRycy9k&#10;b3ducmV2LnhtbFBLAQIUABQAAAAIAIdO4kDzPW30AgIAABIEAAAOAAAAAAAAAAEAIAAAACcBAABk&#10;cnMvZTJvRG9jLnhtbFBLBQYAAAAABgAGAFkBAACbBQAAAAA=&#10;">
                <v:fill on="f" focussize="0,0"/>
                <v:stroke color="#000000" joinstyle="miter"/>
                <v:imagedata o:title=""/>
                <o:lock v:ext="edit" aspectratio="f"/>
                <v:textbox>
                  <w:txbxContent>
                    <w:p w14:paraId="54014DC4">
                      <w:pPr>
                        <w:autoSpaceDE w:val="0"/>
                        <w:autoSpaceDN w:val="0"/>
                        <w:adjustRightInd w:val="0"/>
                        <w:spacing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次生灾害防范处置组</w:t>
                      </w:r>
                    </w:p>
                  </w:txbxContent>
                </v:textbox>
              </v:rect>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85888" behindDoc="0" locked="0" layoutInCell="1" allowOverlap="1">
                <wp:simplePos x="0" y="0"/>
                <wp:positionH relativeFrom="column">
                  <wp:posOffset>3424555</wp:posOffset>
                </wp:positionH>
                <wp:positionV relativeFrom="paragraph">
                  <wp:posOffset>5715</wp:posOffset>
                </wp:positionV>
                <wp:extent cx="3810" cy="328930"/>
                <wp:effectExtent l="0" t="0" r="0" b="0"/>
                <wp:wrapNone/>
                <wp:docPr id="14" name="自选图形 21"/>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1" o:spid="_x0000_s1026" o:spt="100" style="position:absolute;left:0pt;margin-left:269.65pt;margin-top:0.45pt;height:25.9pt;width:0.3pt;z-index:251685888;mso-width-relative:page;mso-height-relative:page;" filled="f" stroked="t" coordsize="6,518" o:gfxdata="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MY/TNUAAAAH&#10;AQAADwAAAAAAAAABACAAAAAiAAAAZHJzL2Rvd25yZXYueG1sUEsBAhQAFAAAAAgAh07iQK+833VY&#10;AgAA9AQAAA4AAAAAAAAAAQAgAAAAJAEAAGRycy9lMm9Eb2MueG1sUEsFBgAAAAAGAAYAWQEAAO4F&#10;AAAAAA==&#10;" path="m6,0l0,518e">
                <v:fill on="f" focussize="0,0"/>
                <v:stroke color="#000000" joinstyle="round"/>
                <v:imagedata o:title=""/>
                <o:lock v:ext="edit" aspectratio="f"/>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2576" behindDoc="0" locked="0" layoutInCell="1" allowOverlap="1">
                <wp:simplePos x="0" y="0"/>
                <wp:positionH relativeFrom="column">
                  <wp:posOffset>313690</wp:posOffset>
                </wp:positionH>
                <wp:positionV relativeFrom="paragraph">
                  <wp:posOffset>328295</wp:posOffset>
                </wp:positionV>
                <wp:extent cx="400050" cy="1990725"/>
                <wp:effectExtent l="4445" t="4445" r="14605" b="5080"/>
                <wp:wrapNone/>
                <wp:docPr id="530" name="矩形 530"/>
                <wp:cNvGraphicFramePr/>
                <a:graphic xmlns:a="http://schemas.openxmlformats.org/drawingml/2006/main">
                  <a:graphicData uri="http://schemas.microsoft.com/office/word/2010/wordprocessingShape">
                    <wps:wsp>
                      <wps:cNvSpPr/>
                      <wps:spPr>
                        <a:xfrm>
                          <a:off x="0" y="0"/>
                          <a:ext cx="400050" cy="1990725"/>
                        </a:xfrm>
                        <a:prstGeom prst="rect">
                          <a:avLst/>
                        </a:prstGeom>
                        <a:noFill/>
                        <a:ln w="9525" cap="flat" cmpd="sng">
                          <a:solidFill>
                            <a:srgbClr val="000000"/>
                          </a:solidFill>
                          <a:prstDash val="solid"/>
                          <a:miter/>
                          <a:headEnd type="none" w="med" len="med"/>
                          <a:tailEnd type="none" w="med" len="med"/>
                        </a:ln>
                        <a:effectLst/>
                      </wps:spPr>
                      <wps:txbx>
                        <w:txbxContent>
                          <w:p w14:paraId="402B5FA7">
                            <w:pPr>
                              <w:autoSpaceDE w:val="0"/>
                              <w:autoSpaceDN w:val="0"/>
                              <w:adjustRightInd w:val="0"/>
                              <w:spacing w:line="300" w:lineRule="exact"/>
                              <w:jc w:val="center"/>
                              <w:rPr>
                                <w:rFonts w:ascii="仿宋_GB2312" w:hAnsi="仿宋" w:eastAsia="仿宋_GB2312"/>
                                <w:kern w:val="0"/>
                                <w:sz w:val="24"/>
                                <w:szCs w:val="24"/>
                              </w:rPr>
                            </w:pPr>
                            <w:r>
                              <w:rPr>
                                <w:rFonts w:hint="eastAsia" w:ascii="仿宋_GB2312" w:hAnsi="仿宋" w:eastAsia="仿宋_GB2312"/>
                                <w:kern w:val="0"/>
                                <w:sz w:val="24"/>
                                <w:szCs w:val="24"/>
                              </w:rPr>
                              <w:t>通信保障组</w:t>
                            </w:r>
                          </w:p>
                        </w:txbxContent>
                      </wps:txbx>
                      <wps:bodyPr upright="1"/>
                    </wps:wsp>
                  </a:graphicData>
                </a:graphic>
              </wp:anchor>
            </w:drawing>
          </mc:Choice>
          <mc:Fallback>
            <w:pict>
              <v:rect id="_x0000_s1026" o:spid="_x0000_s1026" o:spt="1" style="position:absolute;left:0pt;margin-left:24.7pt;margin-top:25.85pt;height:156.75pt;width:31.5pt;z-index:251672576;mso-width-relative:page;mso-height-relative:page;" filled="f" stroked="t" coordsize="21600,21600" o:gfxdata="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3pFUB1wAAAAkBAAAPAAAAAAAAAAEAIAAAACIAAABkcnMvZG93&#10;bnJldi54bWxQSwECFAAUAAAACACHTuJArLPh3QECAAASBAAADgAAAAAAAAABACAAAAAmAQAAZHJz&#10;L2Uyb0RvYy54bWxQSwUGAAAAAAYABgBZAQAAmQUAAAAA&#10;">
                <v:fill on="f" focussize="0,0"/>
                <v:stroke color="#000000" joinstyle="miter"/>
                <v:imagedata o:title=""/>
                <o:lock v:ext="edit" aspectratio="f"/>
                <v:textbox>
                  <w:txbxContent>
                    <w:p w14:paraId="402B5FA7">
                      <w:pPr>
                        <w:autoSpaceDE w:val="0"/>
                        <w:autoSpaceDN w:val="0"/>
                        <w:adjustRightInd w:val="0"/>
                        <w:spacing w:line="300" w:lineRule="exact"/>
                        <w:jc w:val="center"/>
                        <w:rPr>
                          <w:rFonts w:ascii="仿宋_GB2312" w:hAnsi="仿宋" w:eastAsia="仿宋_GB2312"/>
                          <w:kern w:val="0"/>
                          <w:sz w:val="24"/>
                          <w:szCs w:val="24"/>
                        </w:rPr>
                      </w:pPr>
                      <w:r>
                        <w:rPr>
                          <w:rFonts w:hint="eastAsia" w:ascii="仿宋_GB2312" w:hAnsi="仿宋" w:eastAsia="仿宋_GB2312"/>
                          <w:kern w:val="0"/>
                          <w:sz w:val="24"/>
                          <w:szCs w:val="24"/>
                        </w:rPr>
                        <w:t>通信保障组</w:t>
                      </w:r>
                    </w:p>
                  </w:txbxContent>
                </v:textbox>
              </v:rect>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3600" behindDoc="0" locked="0" layoutInCell="1" allowOverlap="1">
                <wp:simplePos x="0" y="0"/>
                <wp:positionH relativeFrom="column">
                  <wp:posOffset>989965</wp:posOffset>
                </wp:positionH>
                <wp:positionV relativeFrom="paragraph">
                  <wp:posOffset>343535</wp:posOffset>
                </wp:positionV>
                <wp:extent cx="400050" cy="1990725"/>
                <wp:effectExtent l="4445" t="4445" r="14605" b="5080"/>
                <wp:wrapNone/>
                <wp:docPr id="529" name="矩形 529"/>
                <wp:cNvGraphicFramePr/>
                <a:graphic xmlns:a="http://schemas.openxmlformats.org/drawingml/2006/main">
                  <a:graphicData uri="http://schemas.microsoft.com/office/word/2010/wordprocessingShape">
                    <wps:wsp>
                      <wps:cNvSpPr/>
                      <wps:spPr>
                        <a:xfrm>
                          <a:off x="0" y="0"/>
                          <a:ext cx="400050" cy="1990725"/>
                        </a:xfrm>
                        <a:prstGeom prst="rect">
                          <a:avLst/>
                        </a:prstGeom>
                        <a:noFill/>
                        <a:ln w="9525" cap="flat" cmpd="sng">
                          <a:solidFill>
                            <a:srgbClr val="000000"/>
                          </a:solidFill>
                          <a:prstDash val="solid"/>
                          <a:miter/>
                          <a:headEnd type="none" w="med" len="med"/>
                          <a:tailEnd type="none" w="med" len="med"/>
                        </a:ln>
                        <a:effectLst/>
                      </wps:spPr>
                      <wps:txbx>
                        <w:txbxContent>
                          <w:p w14:paraId="22B914E3">
                            <w:pPr>
                              <w:autoSpaceDE w:val="0"/>
                              <w:autoSpaceDN w:val="0"/>
                              <w:adjustRightInd w:val="0"/>
                              <w:spacing w:line="300" w:lineRule="exact"/>
                              <w:jc w:val="center"/>
                              <w:rPr>
                                <w:rFonts w:ascii="仿宋_GB2312" w:hAnsi="仿宋" w:eastAsia="仿宋_GB2312"/>
                                <w:kern w:val="0"/>
                                <w:sz w:val="24"/>
                                <w:szCs w:val="24"/>
                              </w:rPr>
                            </w:pPr>
                            <w:r>
                              <w:rPr>
                                <w:rFonts w:hint="eastAsia" w:ascii="仿宋_GB2312" w:hAnsi="仿宋" w:eastAsia="仿宋_GB2312"/>
                                <w:kern w:val="0"/>
                                <w:sz w:val="24"/>
                                <w:szCs w:val="24"/>
                              </w:rPr>
                              <w:t>群众生活保障组</w:t>
                            </w:r>
                          </w:p>
                        </w:txbxContent>
                      </wps:txbx>
                      <wps:bodyPr upright="1"/>
                    </wps:wsp>
                  </a:graphicData>
                </a:graphic>
              </wp:anchor>
            </w:drawing>
          </mc:Choice>
          <mc:Fallback>
            <w:pict>
              <v:rect id="_x0000_s1026" o:spid="_x0000_s1026" o:spt="1" style="position:absolute;left:0pt;margin-left:77.95pt;margin-top:27.05pt;height:156.75pt;width:31.5pt;z-index:251673600;mso-width-relative:page;mso-height-relative:page;" filled="f" stroked="t" coordsize="21600,21600" o:gfxdata="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OXwtPYAAAACgEAAA8AAAAAAAAAAQAgAAAAIgAAAGRycy9k&#10;b3ducmV2LnhtbFBLAQIUABQAAAAIAIdO4kChiYWYAgIAABIEAAAOAAAAAAAAAAEAIAAAACcBAABk&#10;cnMvZTJvRG9jLnhtbFBLBQYAAAAABgAGAFkBAACbBQAAAAA=&#10;">
                <v:fill on="f" focussize="0,0"/>
                <v:stroke color="#000000" joinstyle="miter"/>
                <v:imagedata o:title=""/>
                <o:lock v:ext="edit" aspectratio="f"/>
                <v:textbox>
                  <w:txbxContent>
                    <w:p w14:paraId="22B914E3">
                      <w:pPr>
                        <w:autoSpaceDE w:val="0"/>
                        <w:autoSpaceDN w:val="0"/>
                        <w:adjustRightInd w:val="0"/>
                        <w:spacing w:line="300" w:lineRule="exact"/>
                        <w:jc w:val="center"/>
                        <w:rPr>
                          <w:rFonts w:ascii="仿宋_GB2312" w:hAnsi="仿宋" w:eastAsia="仿宋_GB2312"/>
                          <w:kern w:val="0"/>
                          <w:sz w:val="24"/>
                          <w:szCs w:val="24"/>
                        </w:rPr>
                      </w:pPr>
                      <w:r>
                        <w:rPr>
                          <w:rFonts w:hint="eastAsia" w:ascii="仿宋_GB2312" w:hAnsi="仿宋" w:eastAsia="仿宋_GB2312"/>
                          <w:kern w:val="0"/>
                          <w:sz w:val="24"/>
                          <w:szCs w:val="24"/>
                        </w:rPr>
                        <w:t>群众生活保障组</w:t>
                      </w:r>
                    </w:p>
                  </w:txbxContent>
                </v:textbox>
              </v:rect>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82816" behindDoc="0" locked="0" layoutInCell="1" allowOverlap="1">
                <wp:simplePos x="0" y="0"/>
                <wp:positionH relativeFrom="column">
                  <wp:posOffset>1194435</wp:posOffset>
                </wp:positionH>
                <wp:positionV relativeFrom="paragraph">
                  <wp:posOffset>635</wp:posOffset>
                </wp:positionV>
                <wp:extent cx="3810" cy="328930"/>
                <wp:effectExtent l="0" t="0" r="0" b="0"/>
                <wp:wrapNone/>
                <wp:docPr id="11" name="自选图形 18"/>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18" o:spid="_x0000_s1026" o:spt="100" style="position:absolute;left:0pt;margin-left:94.05pt;margin-top:0.05pt;height:25.9pt;width:0.3pt;z-index:251682816;mso-width-relative:page;mso-height-relative:page;" filled="f" stroked="t" coordsize="6,518" o:gfxdata="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Kn4EvUAAAABwEA&#10;AA8AAAAAAAAAAQAgAAAAIgAAAGRycy9kb3ducmV2LnhtbFBLAQIUABQAAAAIAIdO4kAJd1ucVwIA&#10;APQEAAAOAAAAAAAAAAEAIAAAACMBAABkcnMvZTJvRG9jLnhtbFBLBQYAAAAABgAGAFkBAADsBQAA&#10;AAA=&#10;" path="m6,0l0,518e">
                <v:fill on="f" focussize="0,0"/>
                <v:stroke color="#000000" joinstyle="round"/>
                <v:imagedata o:title=""/>
                <o:lock v:ext="edit" aspectratio="f"/>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4624" behindDoc="0" locked="0" layoutInCell="1" allowOverlap="1">
                <wp:simplePos x="0" y="0"/>
                <wp:positionH relativeFrom="column">
                  <wp:posOffset>1701800</wp:posOffset>
                </wp:positionH>
                <wp:positionV relativeFrom="paragraph">
                  <wp:posOffset>343535</wp:posOffset>
                </wp:positionV>
                <wp:extent cx="400050" cy="1990725"/>
                <wp:effectExtent l="4445" t="4445" r="14605" b="5080"/>
                <wp:wrapNone/>
                <wp:docPr id="540" name="矩形 540"/>
                <wp:cNvGraphicFramePr/>
                <a:graphic xmlns:a="http://schemas.openxmlformats.org/drawingml/2006/main">
                  <a:graphicData uri="http://schemas.microsoft.com/office/word/2010/wordprocessingShape">
                    <wps:wsp>
                      <wps:cNvSpPr/>
                      <wps:spPr>
                        <a:xfrm>
                          <a:off x="0" y="0"/>
                          <a:ext cx="400050" cy="1990725"/>
                        </a:xfrm>
                        <a:prstGeom prst="rect">
                          <a:avLst/>
                        </a:prstGeom>
                        <a:noFill/>
                        <a:ln w="9525" cap="flat" cmpd="sng">
                          <a:solidFill>
                            <a:srgbClr val="000000"/>
                          </a:solidFill>
                          <a:prstDash val="solid"/>
                          <a:miter/>
                          <a:headEnd type="none" w="med" len="med"/>
                          <a:tailEnd type="none" w="med" len="med"/>
                        </a:ln>
                        <a:effectLst/>
                      </wps:spPr>
                      <wps:txbx>
                        <w:txbxContent>
                          <w:p w14:paraId="35697F2F">
                            <w:pPr>
                              <w:autoSpaceDE w:val="0"/>
                              <w:autoSpaceDN w:val="0"/>
                              <w:adjustRightInd w:val="0"/>
                              <w:spacing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医疗救治和卫生防疫组</w:t>
                            </w:r>
                          </w:p>
                        </w:txbxContent>
                      </wps:txbx>
                      <wps:bodyPr upright="1"/>
                    </wps:wsp>
                  </a:graphicData>
                </a:graphic>
              </wp:anchor>
            </w:drawing>
          </mc:Choice>
          <mc:Fallback>
            <w:pict>
              <v:rect id="_x0000_s1026" o:spid="_x0000_s1026" o:spt="1" style="position:absolute;left:0pt;margin-left:134pt;margin-top:27.05pt;height:156.75pt;width:31.5pt;z-index:251674624;mso-width-relative:page;mso-height-relative:page;" filled="f" stroked="t" coordsize="21600,21600" o:gfxdata="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XCPDXZAAAACgEAAA8AAAAAAAAAAQAgAAAAIgAAAGRycy9k&#10;b3ducmV2LnhtbFBLAQIUABQAAAAIAIdO4kD++4NTAQIAABIEAAAOAAAAAAAAAAEAIAAAACgBAABk&#10;cnMvZTJvRG9jLnhtbFBLBQYAAAAABgAGAFkBAACbBQAAAAA=&#10;">
                <v:fill on="f" focussize="0,0"/>
                <v:stroke color="#000000" joinstyle="miter"/>
                <v:imagedata o:title=""/>
                <o:lock v:ext="edit" aspectratio="f"/>
                <v:textbox>
                  <w:txbxContent>
                    <w:p w14:paraId="35697F2F">
                      <w:pPr>
                        <w:autoSpaceDE w:val="0"/>
                        <w:autoSpaceDN w:val="0"/>
                        <w:adjustRightInd w:val="0"/>
                        <w:spacing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医疗救治和卫生防疫组</w:t>
                      </w:r>
                    </w:p>
                  </w:txbxContent>
                </v:textbox>
              </v:rect>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7696" behindDoc="0" locked="0" layoutInCell="1" allowOverlap="1">
                <wp:simplePos x="0" y="0"/>
                <wp:positionH relativeFrom="column">
                  <wp:posOffset>3973195</wp:posOffset>
                </wp:positionH>
                <wp:positionV relativeFrom="paragraph">
                  <wp:posOffset>338455</wp:posOffset>
                </wp:positionV>
                <wp:extent cx="400050" cy="1985645"/>
                <wp:effectExtent l="4445" t="5080" r="14605" b="9525"/>
                <wp:wrapNone/>
                <wp:docPr id="522" name="矩形 522"/>
                <wp:cNvGraphicFramePr/>
                <a:graphic xmlns:a="http://schemas.openxmlformats.org/drawingml/2006/main">
                  <a:graphicData uri="http://schemas.microsoft.com/office/word/2010/wordprocessingShape">
                    <wps:wsp>
                      <wps:cNvSpPr/>
                      <wps:spPr>
                        <a:xfrm>
                          <a:off x="0" y="0"/>
                          <a:ext cx="400050" cy="1985645"/>
                        </a:xfrm>
                        <a:prstGeom prst="rect">
                          <a:avLst/>
                        </a:prstGeom>
                        <a:noFill/>
                        <a:ln w="9525" cap="flat" cmpd="sng">
                          <a:solidFill>
                            <a:srgbClr val="000000"/>
                          </a:solidFill>
                          <a:prstDash val="solid"/>
                          <a:miter/>
                          <a:headEnd type="none" w="med" len="med"/>
                          <a:tailEnd type="none" w="med" len="med"/>
                        </a:ln>
                        <a:effectLst/>
                      </wps:spPr>
                      <wps:txbx>
                        <w:txbxContent>
                          <w:p w14:paraId="16562EC0">
                            <w:pPr>
                              <w:autoSpaceDE w:val="0"/>
                              <w:autoSpaceDN w:val="0"/>
                              <w:adjustRightInd w:val="0"/>
                              <w:spacing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社会治安组</w:t>
                            </w:r>
                          </w:p>
                        </w:txbxContent>
                      </wps:txbx>
                      <wps:bodyPr upright="1"/>
                    </wps:wsp>
                  </a:graphicData>
                </a:graphic>
              </wp:anchor>
            </w:drawing>
          </mc:Choice>
          <mc:Fallback>
            <w:pict>
              <v:rect id="_x0000_s1026" o:spid="_x0000_s1026" o:spt="1" style="position:absolute;left:0pt;margin-left:312.85pt;margin-top:26.65pt;height:156.35pt;width:31.5pt;z-index:251677696;mso-width-relative:page;mso-height-relative:page;" filled="f" stroked="t" coordsize="21600,21600" o:gfxdata="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91lHG2AAAAAoBAAAPAAAAAAAAAAEAIAAAACIAAABkcnMv&#10;ZG93bnJldi54bWxQSwECFAAUAAAACACHTuJAFyN/kgMCAAASBAAADgAAAAAAAAABACAAAAAnAQAA&#10;ZHJzL2Uyb0RvYy54bWxQSwUGAAAAAAYABgBZAQAAnAUAAAAA&#10;">
                <v:fill on="f" focussize="0,0"/>
                <v:stroke color="#000000" joinstyle="miter"/>
                <v:imagedata o:title=""/>
                <o:lock v:ext="edit" aspectratio="f"/>
                <v:textbox>
                  <w:txbxContent>
                    <w:p w14:paraId="16562EC0">
                      <w:pPr>
                        <w:autoSpaceDE w:val="0"/>
                        <w:autoSpaceDN w:val="0"/>
                        <w:adjustRightInd w:val="0"/>
                        <w:spacing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社会治安组</w:t>
                      </w:r>
                    </w:p>
                  </w:txbxContent>
                </v:textbox>
              </v:rect>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86912" behindDoc="0" locked="0" layoutInCell="1" allowOverlap="1">
                <wp:simplePos x="0" y="0"/>
                <wp:positionH relativeFrom="column">
                  <wp:posOffset>4171315</wp:posOffset>
                </wp:positionH>
                <wp:positionV relativeFrom="paragraph">
                  <wp:posOffset>14605</wp:posOffset>
                </wp:positionV>
                <wp:extent cx="3810" cy="328930"/>
                <wp:effectExtent l="0" t="0" r="0" b="0"/>
                <wp:wrapNone/>
                <wp:docPr id="15" name="自选图形 15"/>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15" o:spid="_x0000_s1026" o:spt="100" style="position:absolute;left:0pt;margin-left:328.45pt;margin-top:1.15pt;height:25.9pt;width:0.3pt;z-index:251686912;mso-width-relative:page;mso-height-relative:page;" filled="f" stroked="t" coordsize="6,518" o:gfxdata="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V4Tc3Z&#10;AAAACAEAAA8AAAAAAAAAAQAgAAAAIgAAAGRycy9kb3ducmV2LnhtbFBLAQIUABQAAAAIAIdO4kDx&#10;Ik4fWAIAAPQEAAAOAAAAAAAAAAEAIAAAACgBAABkcnMvZTJvRG9jLnhtbFBLBQYAAAAABgAGAFkB&#10;AADyBQAAAAA=&#10;" path="m6,0l0,518e">
                <v:fill on="f" focussize="0,0"/>
                <v:stroke color="#000000" joinstyle="round"/>
                <v:imagedata o:title=""/>
                <o:lock v:ext="edit" aspectratio="f"/>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5648" behindDoc="0" locked="0" layoutInCell="1" allowOverlap="1">
                <wp:simplePos x="0" y="0"/>
                <wp:positionH relativeFrom="column">
                  <wp:posOffset>2494915</wp:posOffset>
                </wp:positionH>
                <wp:positionV relativeFrom="paragraph">
                  <wp:posOffset>343535</wp:posOffset>
                </wp:positionV>
                <wp:extent cx="400050" cy="1990725"/>
                <wp:effectExtent l="4445" t="4445" r="14605" b="5080"/>
                <wp:wrapNone/>
                <wp:docPr id="523" name="矩形 523"/>
                <wp:cNvGraphicFramePr/>
                <a:graphic xmlns:a="http://schemas.openxmlformats.org/drawingml/2006/main">
                  <a:graphicData uri="http://schemas.microsoft.com/office/word/2010/wordprocessingShape">
                    <wps:wsp>
                      <wps:cNvSpPr/>
                      <wps:spPr>
                        <a:xfrm>
                          <a:off x="0" y="0"/>
                          <a:ext cx="400050" cy="1990725"/>
                        </a:xfrm>
                        <a:prstGeom prst="rect">
                          <a:avLst/>
                        </a:prstGeom>
                        <a:noFill/>
                        <a:ln w="9525" cap="flat" cmpd="sng">
                          <a:solidFill>
                            <a:srgbClr val="000000"/>
                          </a:solidFill>
                          <a:prstDash val="solid"/>
                          <a:miter/>
                          <a:headEnd type="none" w="med" len="med"/>
                          <a:tailEnd type="none" w="med" len="med"/>
                        </a:ln>
                        <a:effectLst/>
                      </wps:spPr>
                      <wps:txbx>
                        <w:txbxContent>
                          <w:p w14:paraId="12BC0BEE">
                            <w:pPr>
                              <w:autoSpaceDE w:val="0"/>
                              <w:autoSpaceDN w:val="0"/>
                              <w:adjustRightInd w:val="0"/>
                              <w:spacing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基础设施保障和生产恢复组</w:t>
                            </w:r>
                          </w:p>
                        </w:txbxContent>
                      </wps:txbx>
                      <wps:bodyPr upright="1"/>
                    </wps:wsp>
                  </a:graphicData>
                </a:graphic>
              </wp:anchor>
            </w:drawing>
          </mc:Choice>
          <mc:Fallback>
            <w:pict>
              <v:rect id="_x0000_s1026" o:spid="_x0000_s1026" o:spt="1" style="position:absolute;left:0pt;margin-left:196.45pt;margin-top:27.05pt;height:156.75pt;width:31.5pt;z-index:251675648;mso-width-relative:page;mso-height-relative:page;" filled="f" stroked="t" coordsize="21600,21600" o:gfxdata="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12dcLYAAAACgEAAA8AAAAAAAAAAQAgAAAAIgAAAGRycy9k&#10;b3ducmV2LnhtbFBLAQIUABQAAAAIAIdO4kCm4YlcAgIAABIEAAAOAAAAAAAAAAEAIAAAACcBAABk&#10;cnMvZTJvRG9jLnhtbFBLBQYAAAAABgAGAFkBAACbBQAAAAA=&#10;">
                <v:fill on="f" focussize="0,0"/>
                <v:stroke color="#000000" joinstyle="miter"/>
                <v:imagedata o:title=""/>
                <o:lock v:ext="edit" aspectratio="f"/>
                <v:textbox>
                  <w:txbxContent>
                    <w:p w14:paraId="12BC0BEE">
                      <w:pPr>
                        <w:autoSpaceDE w:val="0"/>
                        <w:autoSpaceDN w:val="0"/>
                        <w:adjustRightInd w:val="0"/>
                        <w:spacing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基础设施保障和生产恢复组</w:t>
                      </w:r>
                    </w:p>
                  </w:txbxContent>
                </v:textbox>
              </v:rect>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84864" behindDoc="0" locked="0" layoutInCell="1" allowOverlap="1">
                <wp:simplePos x="0" y="0"/>
                <wp:positionH relativeFrom="column">
                  <wp:posOffset>2672080</wp:posOffset>
                </wp:positionH>
                <wp:positionV relativeFrom="paragraph">
                  <wp:posOffset>14605</wp:posOffset>
                </wp:positionV>
                <wp:extent cx="3810" cy="328930"/>
                <wp:effectExtent l="0" t="0" r="0" b="0"/>
                <wp:wrapNone/>
                <wp:docPr id="13" name="自选图形 13"/>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13" o:spid="_x0000_s1026" o:spt="100" style="position:absolute;left:0pt;margin-left:210.4pt;margin-top:1.15pt;height:25.9pt;width:0.3pt;z-index:251684864;mso-width-relative:page;mso-height-relative:page;" filled="f" stroked="t" coordsize="6,518" o:gfxdata="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QJ6q02AAA&#10;AAgBAAAPAAAAAAAAAAEAIAAAACIAAABkcnMvZG93bnJldi54bWxQSwECFAAUAAAACACHTuJAah+F&#10;r1cCAAD0BAAADgAAAAAAAAABACAAAAAnAQAAZHJzL2Uyb0RvYy54bWxQSwUGAAAAAAYABgBZAQAA&#10;8AUAAAAA&#10;" path="m6,0l0,518e">
                <v:fill on="f" focussize="0,0"/>
                <v:stroke color="#000000" joinstyle="round"/>
                <v:imagedata o:title=""/>
                <o:lock v:ext="edit" aspectratio="f"/>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87936" behindDoc="0" locked="0" layoutInCell="1" allowOverlap="1">
                <wp:simplePos x="0" y="0"/>
                <wp:positionH relativeFrom="column">
                  <wp:posOffset>4897755</wp:posOffset>
                </wp:positionH>
                <wp:positionV relativeFrom="paragraph">
                  <wp:posOffset>-9525</wp:posOffset>
                </wp:positionV>
                <wp:extent cx="3810" cy="328930"/>
                <wp:effectExtent l="0" t="0" r="0" b="0"/>
                <wp:wrapNone/>
                <wp:docPr id="16" name="自选图形 12"/>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12" o:spid="_x0000_s1026" o:spt="100" style="position:absolute;left:0pt;margin-left:385.65pt;margin-top:-0.75pt;height:25.9pt;width:0.3pt;z-index:251687936;mso-width-relative:page;mso-height-relative:page;" filled="f" stroked="t" coordsize="6,518" o:gfxdata="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iXN3tgA&#10;AAAJAQAADwAAAAAAAAABACAAAAAiAAAAZHJzL2Rvd25yZXYueG1sUEsBAhQAFAAAAAgAh07iQMtp&#10;GzdYAgAA9AQAAA4AAAAAAAAAAQAgAAAAJwEAAGRycy9lMm9Eb2MueG1sUEsFBgAAAAAGAAYAWQEA&#10;APEFAAAAAA==&#10;" path="m6,0l0,518e">
                <v:fill on="f" focussize="0,0"/>
                <v:stroke color="#000000" joinstyle="round"/>
                <v:imagedata o:title=""/>
                <o:lock v:ext="edit" aspectratio="f"/>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7696" behindDoc="0" locked="0" layoutInCell="1" allowOverlap="1">
                <wp:simplePos x="0" y="0"/>
                <wp:positionH relativeFrom="column">
                  <wp:posOffset>4692650</wp:posOffset>
                </wp:positionH>
                <wp:positionV relativeFrom="paragraph">
                  <wp:posOffset>328295</wp:posOffset>
                </wp:positionV>
                <wp:extent cx="400050" cy="2365375"/>
                <wp:effectExtent l="5080" t="5080" r="13970" b="10795"/>
                <wp:wrapNone/>
                <wp:docPr id="520" name="矩形 520"/>
                <wp:cNvGraphicFramePr/>
                <a:graphic xmlns:a="http://schemas.openxmlformats.org/drawingml/2006/main">
                  <a:graphicData uri="http://schemas.microsoft.com/office/word/2010/wordprocessingShape">
                    <wps:wsp>
                      <wps:cNvSpPr/>
                      <wps:spPr>
                        <a:xfrm>
                          <a:off x="0" y="0"/>
                          <a:ext cx="400050" cy="2365375"/>
                        </a:xfrm>
                        <a:prstGeom prst="rect">
                          <a:avLst/>
                        </a:prstGeom>
                        <a:noFill/>
                        <a:ln w="9525" cap="flat" cmpd="sng">
                          <a:solidFill>
                            <a:srgbClr val="000000"/>
                          </a:solidFill>
                          <a:prstDash val="solid"/>
                          <a:miter/>
                          <a:headEnd type="none" w="med" len="med"/>
                          <a:tailEnd type="none" w="med" len="med"/>
                        </a:ln>
                        <a:effectLst/>
                      </wps:spPr>
                      <wps:txbx>
                        <w:txbxContent>
                          <w:p w14:paraId="6B71D117">
                            <w:pPr>
                              <w:autoSpaceDE w:val="0"/>
                              <w:autoSpaceDN w:val="0"/>
                              <w:adjustRightInd w:val="0"/>
                              <w:spacing w:before="48" w:beforeLines="20"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地震灾害调查及灾情损统评计组</w:t>
                            </w:r>
                          </w:p>
                        </w:txbxContent>
                      </wps:txbx>
                      <wps:bodyPr upright="1"/>
                    </wps:wsp>
                  </a:graphicData>
                </a:graphic>
              </wp:anchor>
            </w:drawing>
          </mc:Choice>
          <mc:Fallback>
            <w:pict>
              <v:rect id="_x0000_s1026" o:spid="_x0000_s1026" o:spt="1" style="position:absolute;left:0pt;margin-left:369.5pt;margin-top:25.85pt;height:186.25pt;width:31.5pt;z-index:251677696;mso-width-relative:page;mso-height-relative:page;" filled="f" stroked="t" coordsize="21600,21600" o:gfxdata="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E8pA2QAAAAoBAAAPAAAAAAAAAAEAIAAAACIAAABkcnMv&#10;ZG93bnJldi54bWxQSwECFAAUAAAACACHTuJAwQ4JnwICAAASBAAADgAAAAAAAAABACAAAAAoAQAA&#10;ZHJzL2Uyb0RvYy54bWxQSwUGAAAAAAYABgBZAQAAnAUAAAAA&#10;">
                <v:fill on="f" focussize="0,0"/>
                <v:stroke color="#000000" joinstyle="miter"/>
                <v:imagedata o:title=""/>
                <o:lock v:ext="edit" aspectratio="f"/>
                <v:textbox>
                  <w:txbxContent>
                    <w:p w14:paraId="6B71D117">
                      <w:pPr>
                        <w:autoSpaceDE w:val="0"/>
                        <w:autoSpaceDN w:val="0"/>
                        <w:adjustRightInd w:val="0"/>
                        <w:spacing w:before="48" w:beforeLines="20"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地震灾害调查及灾情损统评计组</w:t>
                      </w:r>
                    </w:p>
                  </w:txbxContent>
                </v:textbox>
              </v:rect>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8720" behindDoc="0" locked="0" layoutInCell="1" allowOverlap="1">
                <wp:simplePos x="0" y="0"/>
                <wp:positionH relativeFrom="column">
                  <wp:posOffset>5371465</wp:posOffset>
                </wp:positionH>
                <wp:positionV relativeFrom="paragraph">
                  <wp:posOffset>334645</wp:posOffset>
                </wp:positionV>
                <wp:extent cx="400050" cy="1803400"/>
                <wp:effectExtent l="4445" t="4445" r="14605" b="20955"/>
                <wp:wrapNone/>
                <wp:docPr id="518" name="矩形 518"/>
                <wp:cNvGraphicFramePr/>
                <a:graphic xmlns:a="http://schemas.openxmlformats.org/drawingml/2006/main">
                  <a:graphicData uri="http://schemas.microsoft.com/office/word/2010/wordprocessingShape">
                    <wps:wsp>
                      <wps:cNvSpPr/>
                      <wps:spPr>
                        <a:xfrm>
                          <a:off x="0" y="0"/>
                          <a:ext cx="400050" cy="1803400"/>
                        </a:xfrm>
                        <a:prstGeom prst="rect">
                          <a:avLst/>
                        </a:prstGeom>
                        <a:noFill/>
                        <a:ln w="9525" cap="flat" cmpd="sng">
                          <a:solidFill>
                            <a:srgbClr val="000000"/>
                          </a:solidFill>
                          <a:prstDash val="solid"/>
                          <a:miter/>
                          <a:headEnd type="none" w="med" len="med"/>
                          <a:tailEnd type="none" w="med" len="med"/>
                        </a:ln>
                        <a:effectLst/>
                      </wps:spPr>
                      <wps:txbx>
                        <w:txbxContent>
                          <w:p w14:paraId="72DE3245">
                            <w:pPr>
                              <w:autoSpaceDE w:val="0"/>
                              <w:autoSpaceDN w:val="0"/>
                              <w:adjustRightInd w:val="0"/>
                              <w:spacing w:before="48" w:beforeLines="20"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信息发布及宣传报道组</w:t>
                            </w:r>
                          </w:p>
                        </w:txbxContent>
                      </wps:txbx>
                      <wps:bodyPr upright="1"/>
                    </wps:wsp>
                  </a:graphicData>
                </a:graphic>
              </wp:anchor>
            </w:drawing>
          </mc:Choice>
          <mc:Fallback>
            <w:pict>
              <v:rect id="_x0000_s1026" o:spid="_x0000_s1026" o:spt="1" style="position:absolute;left:0pt;margin-left:422.95pt;margin-top:26.35pt;height:142pt;width:31.5pt;z-index:251678720;mso-width-relative:page;mso-height-relative:page;" filled="f" stroked="t" coordsize="21600,21600" o:gfxdata="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3ON/nZAAAACgEAAA8AAAAAAAAAAQAgAAAAIgAAAGRycy9k&#10;b3ducmV2LnhtbFBLAQIUABQAAAAIAIdO4kAbBKOcAQIAABIEAAAOAAAAAAAAAAEAIAAAACgBAABk&#10;cnMvZTJvRG9jLnhtbFBLBQYAAAAABgAGAFkBAACbBQAAAAA=&#10;">
                <v:fill on="f" focussize="0,0"/>
                <v:stroke color="#000000" joinstyle="miter"/>
                <v:imagedata o:title=""/>
                <o:lock v:ext="edit" aspectratio="f"/>
                <v:textbox>
                  <w:txbxContent>
                    <w:p w14:paraId="72DE3245">
                      <w:pPr>
                        <w:autoSpaceDE w:val="0"/>
                        <w:autoSpaceDN w:val="0"/>
                        <w:adjustRightInd w:val="0"/>
                        <w:spacing w:before="48" w:beforeLines="20"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信息发布及宣传报道组</w:t>
                      </w:r>
                    </w:p>
                  </w:txbxContent>
                </v:textbox>
              </v:rect>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1552" behindDoc="0" locked="0" layoutInCell="1" allowOverlap="1">
                <wp:simplePos x="0" y="0"/>
                <wp:positionH relativeFrom="column">
                  <wp:posOffset>-359410</wp:posOffset>
                </wp:positionH>
                <wp:positionV relativeFrom="paragraph">
                  <wp:posOffset>334645</wp:posOffset>
                </wp:positionV>
                <wp:extent cx="400050" cy="1990725"/>
                <wp:effectExtent l="4445" t="4445" r="14605" b="5080"/>
                <wp:wrapNone/>
                <wp:docPr id="519" name="矩形 519"/>
                <wp:cNvGraphicFramePr/>
                <a:graphic xmlns:a="http://schemas.openxmlformats.org/drawingml/2006/main">
                  <a:graphicData uri="http://schemas.microsoft.com/office/word/2010/wordprocessingShape">
                    <wps:wsp>
                      <wps:cNvSpPr/>
                      <wps:spPr>
                        <a:xfrm>
                          <a:off x="0" y="0"/>
                          <a:ext cx="400050" cy="1990725"/>
                        </a:xfrm>
                        <a:prstGeom prst="rect">
                          <a:avLst/>
                        </a:prstGeom>
                        <a:noFill/>
                        <a:ln w="9525" cap="flat" cmpd="sng">
                          <a:solidFill>
                            <a:srgbClr val="000000"/>
                          </a:solidFill>
                          <a:prstDash val="solid"/>
                          <a:miter/>
                          <a:headEnd type="none" w="med" len="med"/>
                          <a:tailEnd type="none" w="med" len="med"/>
                        </a:ln>
                        <a:effectLst/>
                      </wps:spPr>
                      <wps:txbx>
                        <w:txbxContent>
                          <w:p w14:paraId="27EC702F">
                            <w:pPr>
                              <w:autoSpaceDE w:val="0"/>
                              <w:autoSpaceDN w:val="0"/>
                              <w:adjustRightInd w:val="0"/>
                              <w:spacing w:line="300" w:lineRule="exact"/>
                              <w:jc w:val="center"/>
                              <w:rPr>
                                <w:rFonts w:ascii="仿宋_GB2312" w:hAnsi="仿宋" w:eastAsia="仿宋_GB2312"/>
                                <w:kern w:val="0"/>
                                <w:sz w:val="24"/>
                                <w:szCs w:val="24"/>
                              </w:rPr>
                            </w:pPr>
                            <w:r>
                              <w:rPr>
                                <w:rFonts w:hint="eastAsia" w:ascii="仿宋_GB2312" w:hAnsi="仿宋" w:eastAsia="仿宋_GB2312"/>
                                <w:kern w:val="0"/>
                                <w:sz w:val="24"/>
                                <w:szCs w:val="24"/>
                              </w:rPr>
                              <w:t>抢险救援组</w:t>
                            </w:r>
                          </w:p>
                        </w:txbxContent>
                      </wps:txbx>
                      <wps:bodyPr upright="1"/>
                    </wps:wsp>
                  </a:graphicData>
                </a:graphic>
              </wp:anchor>
            </w:drawing>
          </mc:Choice>
          <mc:Fallback>
            <w:pict>
              <v:rect id="_x0000_s1026" o:spid="_x0000_s1026" o:spt="1" style="position:absolute;left:0pt;margin-left:-28.3pt;margin-top:26.35pt;height:156.75pt;width:31.5pt;z-index:251671552;mso-width-relative:page;mso-height-relative:page;" filled="f" stroked="t" coordsize="21600,21600" o:gfxdata="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8vtcAAAAIAQAADwAAAAAAAAABACAAAAAiAAAAZHJzL2Rv&#10;d25yZXYueG1sUEsBAhQAFAAAAAgAh07iQN3O8k8CAgAAEgQAAA4AAAAAAAAAAQAgAAAAJgEAAGRy&#10;cy9lMm9Eb2MueG1sUEsFBgAAAAAGAAYAWQEAAJoFAAAAAA==&#10;">
                <v:fill on="f" focussize="0,0"/>
                <v:stroke color="#000000" joinstyle="miter"/>
                <v:imagedata o:title=""/>
                <o:lock v:ext="edit" aspectratio="f"/>
                <v:textbox>
                  <w:txbxContent>
                    <w:p w14:paraId="27EC702F">
                      <w:pPr>
                        <w:autoSpaceDE w:val="0"/>
                        <w:autoSpaceDN w:val="0"/>
                        <w:adjustRightInd w:val="0"/>
                        <w:spacing w:line="300" w:lineRule="exact"/>
                        <w:jc w:val="center"/>
                        <w:rPr>
                          <w:rFonts w:ascii="仿宋_GB2312" w:hAnsi="仿宋" w:eastAsia="仿宋_GB2312"/>
                          <w:kern w:val="0"/>
                          <w:sz w:val="24"/>
                          <w:szCs w:val="24"/>
                        </w:rPr>
                      </w:pPr>
                      <w:r>
                        <w:rPr>
                          <w:rFonts w:hint="eastAsia" w:ascii="仿宋_GB2312" w:hAnsi="仿宋" w:eastAsia="仿宋_GB2312"/>
                          <w:kern w:val="0"/>
                          <w:sz w:val="24"/>
                          <w:szCs w:val="24"/>
                        </w:rPr>
                        <w:t>抢险救援组</w:t>
                      </w:r>
                    </w:p>
                  </w:txbxContent>
                </v:textbox>
              </v:rect>
            </w:pict>
          </mc:Fallback>
        </mc:AlternateContent>
      </w:r>
    </w:p>
    <w:p w14:paraId="64FE2045">
      <w:pPr>
        <w:autoSpaceDE w:val="0"/>
        <w:autoSpaceDN w:val="0"/>
        <w:adjustRightInd w:val="0"/>
        <w:spacing w:line="560" w:lineRule="exact"/>
        <w:jc w:val="left"/>
        <w:rPr>
          <w:rFonts w:ascii="Times New Roman" w:hAnsi="Times New Roman" w:eastAsia="仿宋_GB2312"/>
          <w:kern w:val="0"/>
          <w:sz w:val="32"/>
          <w:szCs w:val="32"/>
        </w:rPr>
      </w:pPr>
    </w:p>
    <w:p w14:paraId="04481888">
      <w:pPr>
        <w:autoSpaceDE w:val="0"/>
        <w:autoSpaceDN w:val="0"/>
        <w:adjustRightInd w:val="0"/>
        <w:spacing w:line="570" w:lineRule="exact"/>
        <w:ind w:firstLine="633" w:firstLineChars="198"/>
        <w:rPr>
          <w:rFonts w:ascii="Times New Roman" w:hAnsi="Times New Roman" w:eastAsia="楷体_GB2312"/>
          <w:kern w:val="0"/>
          <w:sz w:val="32"/>
          <w:szCs w:val="32"/>
        </w:rPr>
      </w:pPr>
    </w:p>
    <w:p w14:paraId="4ADA584D">
      <w:pPr>
        <w:autoSpaceDE w:val="0"/>
        <w:autoSpaceDN w:val="0"/>
        <w:adjustRightInd w:val="0"/>
        <w:spacing w:line="570" w:lineRule="exact"/>
        <w:ind w:firstLine="633" w:firstLineChars="198"/>
        <w:rPr>
          <w:rFonts w:ascii="Times New Roman" w:hAnsi="Times New Roman" w:eastAsia="楷体_GB2312"/>
          <w:kern w:val="0"/>
          <w:sz w:val="32"/>
          <w:szCs w:val="32"/>
        </w:rPr>
      </w:pPr>
    </w:p>
    <w:p w14:paraId="7478938F">
      <w:pPr>
        <w:autoSpaceDE w:val="0"/>
        <w:autoSpaceDN w:val="0"/>
        <w:adjustRightInd w:val="0"/>
        <w:spacing w:line="570" w:lineRule="exact"/>
        <w:ind w:firstLine="633" w:firstLineChars="198"/>
        <w:rPr>
          <w:rFonts w:ascii="Times New Roman" w:hAnsi="Times New Roman" w:eastAsia="楷体_GB2312"/>
          <w:kern w:val="0"/>
          <w:sz w:val="32"/>
          <w:szCs w:val="32"/>
        </w:rPr>
      </w:pPr>
    </w:p>
    <w:p w14:paraId="1F449C3D">
      <w:pPr>
        <w:autoSpaceDE w:val="0"/>
        <w:autoSpaceDN w:val="0"/>
        <w:adjustRightInd w:val="0"/>
        <w:spacing w:line="570" w:lineRule="exact"/>
        <w:ind w:firstLine="633" w:firstLineChars="198"/>
        <w:rPr>
          <w:rFonts w:ascii="Times New Roman" w:hAnsi="Times New Roman" w:eastAsia="楷体_GB2312"/>
          <w:kern w:val="0"/>
          <w:sz w:val="32"/>
          <w:szCs w:val="32"/>
        </w:rPr>
      </w:pPr>
    </w:p>
    <w:p w14:paraId="1304BDE0">
      <w:pPr>
        <w:autoSpaceDE w:val="0"/>
        <w:autoSpaceDN w:val="0"/>
        <w:adjustRightInd w:val="0"/>
        <w:spacing w:line="570" w:lineRule="exact"/>
        <w:rPr>
          <w:rFonts w:ascii="Times New Roman" w:hAnsi="Times New Roman" w:eastAsia="楷体_GB2312"/>
          <w:kern w:val="0"/>
          <w:sz w:val="32"/>
          <w:szCs w:val="32"/>
        </w:rPr>
      </w:pPr>
    </w:p>
    <w:p w14:paraId="0F4A80DC">
      <w:pPr>
        <w:autoSpaceDE w:val="0"/>
        <w:autoSpaceDN w:val="0"/>
        <w:adjustRightInd w:val="0"/>
        <w:spacing w:line="570" w:lineRule="exact"/>
        <w:ind w:firstLine="633" w:firstLineChars="198"/>
        <w:rPr>
          <w:rFonts w:ascii="Times New Roman" w:hAnsi="Times New Roman" w:eastAsia="楷体_GB2312"/>
          <w:kern w:val="0"/>
          <w:sz w:val="32"/>
          <w:szCs w:val="32"/>
        </w:rPr>
      </w:pPr>
      <w:r>
        <w:rPr>
          <w:rFonts w:ascii="Times New Roman" w:hAnsi="Times New Roman" w:eastAsia="楷体_GB2312"/>
          <w:kern w:val="0"/>
          <w:sz w:val="32"/>
          <w:szCs w:val="32"/>
        </w:rPr>
        <w:t>3.1  区抗震救灾指挥部组成及其主要职责</w:t>
      </w:r>
    </w:p>
    <w:p w14:paraId="224004A4">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3.1.1  区抗震救灾指挥部组成</w:t>
      </w:r>
    </w:p>
    <w:p w14:paraId="4B4136D2">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指 挥 长：管委会主任</w:t>
      </w:r>
    </w:p>
    <w:p w14:paraId="02579903">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副指挥长：分管应急工作的管委会副主任</w:t>
      </w:r>
    </w:p>
    <w:p w14:paraId="2EA4100B">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成    员：区党政办、区纪工委、区组织宣传部、区政法委、区经发局、区科技局、区财政局、区人社局、区住建局、区社会事业局、区行政审批局、区综合行政执法局、区应急管理局、市生态环境局开发区分局、区人武部、新海连集团、各街道办事处、市自然资源局开发区分局、区公安分局、区交警大队、区消防救援大队、边防大队、电信公司、移动公司、供电公司等有关部门和单位负责同志。</w:t>
      </w:r>
    </w:p>
    <w:p w14:paraId="27FA3600">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开发区管委会可根据应急处置实际需要，对区抗震救灾指挥部领导和成员进行调整。</w:t>
      </w:r>
    </w:p>
    <w:p w14:paraId="1B80B53C">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区防震减灾工作联席会议转为区抗震救灾指挥部后，联席会议成员单位即转为区抗震救灾指挥部成员单位。</w:t>
      </w:r>
    </w:p>
    <w:p w14:paraId="2A68BB59">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区抗震救灾指挥部下设办公室，区应急管理局承担区抗震救灾指挥部办公室日常工作。</w:t>
      </w:r>
    </w:p>
    <w:p w14:paraId="2F882B2C">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区抗震救灾指挥部成员及联系方式</w:t>
      </w:r>
    </w:p>
    <w:tbl>
      <w:tblPr>
        <w:tblStyle w:val="23"/>
        <w:tblW w:w="0" w:type="auto"/>
        <w:jc w:val="center"/>
        <w:tblLayout w:type="fixed"/>
        <w:tblCellMar>
          <w:top w:w="0" w:type="dxa"/>
          <w:left w:w="108" w:type="dxa"/>
          <w:bottom w:w="0" w:type="dxa"/>
          <w:right w:w="108" w:type="dxa"/>
        </w:tblCellMar>
      </w:tblPr>
      <w:tblGrid>
        <w:gridCol w:w="882"/>
        <w:gridCol w:w="2889"/>
        <w:gridCol w:w="1330"/>
        <w:gridCol w:w="1853"/>
        <w:gridCol w:w="1747"/>
      </w:tblGrid>
      <w:tr w14:paraId="2A2F5D2F">
        <w:tblPrEx>
          <w:tblCellMar>
            <w:top w:w="0" w:type="dxa"/>
            <w:left w:w="108" w:type="dxa"/>
            <w:bottom w:w="0" w:type="dxa"/>
            <w:right w:w="108" w:type="dxa"/>
          </w:tblCellMar>
        </w:tblPrEx>
        <w:trPr>
          <w:trHeight w:val="454" w:hRule="atLeast"/>
          <w:tblHeader/>
          <w:jc w:val="center"/>
        </w:trPr>
        <w:tc>
          <w:tcPr>
            <w:tcW w:w="882" w:type="dxa"/>
            <w:vMerge w:val="restart"/>
            <w:tcBorders>
              <w:top w:val="single" w:color="000000" w:sz="8" w:space="0"/>
              <w:left w:val="single" w:color="000000" w:sz="8" w:space="0"/>
              <w:right w:val="single" w:color="000000" w:sz="8" w:space="0"/>
            </w:tcBorders>
            <w:vAlign w:val="center"/>
          </w:tcPr>
          <w:p w14:paraId="196183F8">
            <w:pPr>
              <w:autoSpaceDE w:val="0"/>
              <w:autoSpaceDN w:val="0"/>
              <w:adjustRightInd w:val="0"/>
              <w:spacing w:line="320" w:lineRule="exact"/>
              <w:jc w:val="center"/>
              <w:rPr>
                <w:rFonts w:ascii="Times New Roman" w:hAnsi="Times New Roman" w:eastAsia="黑体"/>
                <w:sz w:val="24"/>
                <w:szCs w:val="24"/>
              </w:rPr>
            </w:pPr>
            <w:r>
              <w:rPr>
                <w:rFonts w:ascii="Times New Roman" w:hAnsi="Times New Roman" w:eastAsia="黑体"/>
                <w:sz w:val="24"/>
                <w:szCs w:val="24"/>
              </w:rPr>
              <w:t>序号</w:t>
            </w:r>
          </w:p>
        </w:tc>
        <w:tc>
          <w:tcPr>
            <w:tcW w:w="2889" w:type="dxa"/>
            <w:vMerge w:val="restart"/>
            <w:tcBorders>
              <w:top w:val="single" w:color="000000" w:sz="8" w:space="0"/>
              <w:left w:val="single" w:color="000000" w:sz="8" w:space="0"/>
              <w:right w:val="single" w:color="000000" w:sz="8" w:space="0"/>
            </w:tcBorders>
            <w:vAlign w:val="center"/>
          </w:tcPr>
          <w:p w14:paraId="3E2FB1E1">
            <w:pPr>
              <w:autoSpaceDE w:val="0"/>
              <w:autoSpaceDN w:val="0"/>
              <w:adjustRightInd w:val="0"/>
              <w:spacing w:line="320" w:lineRule="exact"/>
              <w:jc w:val="center"/>
              <w:rPr>
                <w:rFonts w:ascii="Times New Roman" w:hAnsi="Times New Roman" w:eastAsia="黑体"/>
                <w:sz w:val="24"/>
                <w:szCs w:val="24"/>
              </w:rPr>
            </w:pPr>
            <w:r>
              <w:rPr>
                <w:rFonts w:ascii="Times New Roman" w:hAnsi="Times New Roman" w:eastAsia="黑体"/>
                <w:sz w:val="24"/>
                <w:szCs w:val="24"/>
              </w:rPr>
              <w:t>成员单位</w:t>
            </w:r>
          </w:p>
        </w:tc>
        <w:tc>
          <w:tcPr>
            <w:tcW w:w="3183" w:type="dxa"/>
            <w:gridSpan w:val="2"/>
            <w:tcBorders>
              <w:top w:val="single" w:color="000000" w:sz="8" w:space="0"/>
              <w:left w:val="single" w:color="000000" w:sz="8" w:space="0"/>
              <w:bottom w:val="single" w:color="000000" w:sz="8" w:space="0"/>
              <w:right w:val="single" w:color="000000" w:sz="8" w:space="0"/>
            </w:tcBorders>
            <w:vAlign w:val="center"/>
          </w:tcPr>
          <w:p w14:paraId="2D05043B">
            <w:pPr>
              <w:autoSpaceDE w:val="0"/>
              <w:autoSpaceDN w:val="0"/>
              <w:adjustRightInd w:val="0"/>
              <w:spacing w:line="320" w:lineRule="exact"/>
              <w:jc w:val="center"/>
              <w:rPr>
                <w:rFonts w:ascii="Times New Roman" w:hAnsi="Times New Roman" w:eastAsia="黑体"/>
                <w:sz w:val="24"/>
                <w:szCs w:val="24"/>
              </w:rPr>
            </w:pPr>
            <w:r>
              <w:rPr>
                <w:rFonts w:ascii="Times New Roman" w:hAnsi="Times New Roman" w:eastAsia="黑体"/>
                <w:sz w:val="24"/>
                <w:szCs w:val="24"/>
              </w:rPr>
              <w:t>指挥部成员</w:t>
            </w:r>
          </w:p>
        </w:tc>
        <w:tc>
          <w:tcPr>
            <w:tcW w:w="1747" w:type="dxa"/>
            <w:vMerge w:val="restart"/>
            <w:tcBorders>
              <w:top w:val="single" w:color="000000" w:sz="8" w:space="0"/>
              <w:left w:val="single" w:color="000000" w:sz="8" w:space="0"/>
              <w:right w:val="single" w:color="000000" w:sz="8" w:space="0"/>
            </w:tcBorders>
            <w:vAlign w:val="center"/>
          </w:tcPr>
          <w:p w14:paraId="4B2CD824">
            <w:pPr>
              <w:autoSpaceDE w:val="0"/>
              <w:autoSpaceDN w:val="0"/>
              <w:adjustRightInd w:val="0"/>
              <w:spacing w:line="320" w:lineRule="exact"/>
              <w:jc w:val="center"/>
              <w:rPr>
                <w:rFonts w:ascii="Times New Roman" w:hAnsi="Times New Roman" w:eastAsia="黑体"/>
                <w:sz w:val="24"/>
                <w:szCs w:val="24"/>
              </w:rPr>
            </w:pPr>
            <w:r>
              <w:rPr>
                <w:rFonts w:ascii="Times New Roman" w:hAnsi="Times New Roman" w:eastAsia="黑体"/>
                <w:sz w:val="24"/>
                <w:szCs w:val="24"/>
              </w:rPr>
              <w:t>联系电话</w:t>
            </w:r>
          </w:p>
        </w:tc>
      </w:tr>
      <w:tr w14:paraId="540AA189">
        <w:tblPrEx>
          <w:tblCellMar>
            <w:top w:w="0" w:type="dxa"/>
            <w:left w:w="108" w:type="dxa"/>
            <w:bottom w:w="0" w:type="dxa"/>
            <w:right w:w="108" w:type="dxa"/>
          </w:tblCellMar>
        </w:tblPrEx>
        <w:trPr>
          <w:trHeight w:val="454" w:hRule="atLeast"/>
          <w:tblHeader/>
          <w:jc w:val="center"/>
        </w:trPr>
        <w:tc>
          <w:tcPr>
            <w:tcW w:w="882" w:type="dxa"/>
            <w:vMerge w:val="continue"/>
            <w:tcBorders>
              <w:left w:val="single" w:color="000000" w:sz="8" w:space="0"/>
              <w:bottom w:val="single" w:color="000000" w:sz="8" w:space="0"/>
              <w:right w:val="single" w:color="000000" w:sz="8" w:space="0"/>
            </w:tcBorders>
            <w:vAlign w:val="center"/>
          </w:tcPr>
          <w:p w14:paraId="640A7736">
            <w:pPr>
              <w:autoSpaceDE w:val="0"/>
              <w:autoSpaceDN w:val="0"/>
              <w:adjustRightInd w:val="0"/>
              <w:spacing w:line="320" w:lineRule="exact"/>
              <w:ind w:firstLine="624"/>
              <w:jc w:val="center"/>
              <w:rPr>
                <w:rFonts w:ascii="Times New Roman" w:hAnsi="Times New Roman" w:eastAsia="仿宋_GB2312"/>
                <w:kern w:val="0"/>
                <w:sz w:val="24"/>
                <w:szCs w:val="32"/>
              </w:rPr>
            </w:pPr>
          </w:p>
        </w:tc>
        <w:tc>
          <w:tcPr>
            <w:tcW w:w="2889" w:type="dxa"/>
            <w:vMerge w:val="continue"/>
            <w:tcBorders>
              <w:left w:val="single" w:color="000000" w:sz="8" w:space="0"/>
              <w:bottom w:val="single" w:color="000000" w:sz="8" w:space="0"/>
              <w:right w:val="single" w:color="000000" w:sz="8" w:space="0"/>
            </w:tcBorders>
            <w:vAlign w:val="center"/>
          </w:tcPr>
          <w:p w14:paraId="7C7F6FFB">
            <w:pPr>
              <w:autoSpaceDE w:val="0"/>
              <w:autoSpaceDN w:val="0"/>
              <w:adjustRightInd w:val="0"/>
              <w:spacing w:line="320" w:lineRule="exact"/>
              <w:ind w:firstLine="624"/>
              <w:jc w:val="center"/>
              <w:rPr>
                <w:rFonts w:ascii="Times New Roman" w:hAnsi="Times New Roman" w:eastAsia="仿宋_GB2312"/>
                <w:kern w:val="0"/>
                <w:sz w:val="24"/>
                <w:szCs w:val="32"/>
              </w:rPr>
            </w:pPr>
          </w:p>
        </w:tc>
        <w:tc>
          <w:tcPr>
            <w:tcW w:w="1330" w:type="dxa"/>
            <w:tcBorders>
              <w:top w:val="single" w:color="000000" w:sz="8" w:space="0"/>
              <w:left w:val="single" w:color="000000" w:sz="8" w:space="0"/>
              <w:bottom w:val="single" w:color="000000" w:sz="8" w:space="0"/>
              <w:right w:val="single" w:color="000000" w:sz="8" w:space="0"/>
            </w:tcBorders>
            <w:vAlign w:val="center"/>
          </w:tcPr>
          <w:p w14:paraId="13976C69">
            <w:pPr>
              <w:autoSpaceDE w:val="0"/>
              <w:autoSpaceDN w:val="0"/>
              <w:adjustRightInd w:val="0"/>
              <w:spacing w:line="320" w:lineRule="exact"/>
              <w:jc w:val="center"/>
              <w:rPr>
                <w:rFonts w:ascii="Times New Roman" w:hAnsi="Times New Roman" w:eastAsia="黑体"/>
                <w:sz w:val="24"/>
                <w:szCs w:val="24"/>
              </w:rPr>
            </w:pPr>
            <w:r>
              <w:rPr>
                <w:rFonts w:ascii="Times New Roman" w:hAnsi="Times New Roman" w:eastAsia="黑体"/>
                <w:sz w:val="24"/>
                <w:szCs w:val="24"/>
              </w:rPr>
              <w:t>姓名</w:t>
            </w:r>
          </w:p>
        </w:tc>
        <w:tc>
          <w:tcPr>
            <w:tcW w:w="1853" w:type="dxa"/>
            <w:tcBorders>
              <w:top w:val="single" w:color="000000" w:sz="8" w:space="0"/>
              <w:left w:val="single" w:color="000000" w:sz="8" w:space="0"/>
              <w:bottom w:val="single" w:color="000000" w:sz="8" w:space="0"/>
              <w:right w:val="single" w:color="000000" w:sz="8" w:space="0"/>
            </w:tcBorders>
            <w:vAlign w:val="center"/>
          </w:tcPr>
          <w:p w14:paraId="66908317">
            <w:pPr>
              <w:autoSpaceDE w:val="0"/>
              <w:autoSpaceDN w:val="0"/>
              <w:adjustRightInd w:val="0"/>
              <w:spacing w:line="320" w:lineRule="exact"/>
              <w:jc w:val="center"/>
              <w:rPr>
                <w:rFonts w:ascii="Times New Roman" w:hAnsi="Times New Roman" w:eastAsia="黑体"/>
                <w:sz w:val="24"/>
                <w:szCs w:val="24"/>
              </w:rPr>
            </w:pPr>
            <w:r>
              <w:rPr>
                <w:rFonts w:ascii="Times New Roman" w:hAnsi="Times New Roman" w:eastAsia="黑体"/>
                <w:sz w:val="24"/>
                <w:szCs w:val="24"/>
              </w:rPr>
              <w:t>职务</w:t>
            </w:r>
          </w:p>
        </w:tc>
        <w:tc>
          <w:tcPr>
            <w:tcW w:w="1747" w:type="dxa"/>
            <w:vMerge w:val="continue"/>
            <w:tcBorders>
              <w:left w:val="single" w:color="000000" w:sz="8" w:space="0"/>
              <w:bottom w:val="single" w:color="000000" w:sz="8" w:space="0"/>
              <w:right w:val="single" w:color="000000" w:sz="8" w:space="0"/>
            </w:tcBorders>
            <w:vAlign w:val="center"/>
          </w:tcPr>
          <w:p w14:paraId="2EEF90DA">
            <w:pPr>
              <w:autoSpaceDE w:val="0"/>
              <w:autoSpaceDN w:val="0"/>
              <w:adjustRightInd w:val="0"/>
              <w:spacing w:line="320" w:lineRule="exact"/>
              <w:jc w:val="center"/>
              <w:rPr>
                <w:rFonts w:ascii="Times New Roman" w:hAnsi="Times New Roman" w:eastAsia="宋体"/>
                <w:sz w:val="24"/>
                <w:szCs w:val="24"/>
              </w:rPr>
            </w:pPr>
          </w:p>
        </w:tc>
      </w:tr>
      <w:tr w14:paraId="6FD7388A">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5823B108">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w:t>
            </w:r>
          </w:p>
        </w:tc>
        <w:tc>
          <w:tcPr>
            <w:tcW w:w="2889" w:type="dxa"/>
            <w:tcBorders>
              <w:top w:val="single" w:color="000000" w:sz="8" w:space="0"/>
              <w:left w:val="single" w:color="000000" w:sz="8" w:space="0"/>
              <w:bottom w:val="single" w:color="000000" w:sz="8" w:space="0"/>
              <w:right w:val="single" w:color="000000" w:sz="8" w:space="0"/>
            </w:tcBorders>
            <w:vAlign w:val="center"/>
          </w:tcPr>
          <w:p w14:paraId="5CB91A8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指挥长</w:t>
            </w:r>
          </w:p>
        </w:tc>
        <w:tc>
          <w:tcPr>
            <w:tcW w:w="1330" w:type="dxa"/>
            <w:tcBorders>
              <w:top w:val="single" w:color="000000" w:sz="8" w:space="0"/>
              <w:left w:val="single" w:color="000000" w:sz="8" w:space="0"/>
              <w:bottom w:val="single" w:color="000000" w:sz="8" w:space="0"/>
              <w:right w:val="single" w:color="000000" w:sz="8" w:space="0"/>
            </w:tcBorders>
            <w:vAlign w:val="center"/>
          </w:tcPr>
          <w:p w14:paraId="7612BFA6">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孙爱华</w:t>
            </w:r>
          </w:p>
        </w:tc>
        <w:tc>
          <w:tcPr>
            <w:tcW w:w="1853" w:type="dxa"/>
            <w:tcBorders>
              <w:top w:val="single" w:color="000000" w:sz="8" w:space="0"/>
              <w:left w:val="single" w:color="000000" w:sz="8" w:space="0"/>
              <w:bottom w:val="single" w:color="000000" w:sz="8" w:space="0"/>
              <w:right w:val="single" w:color="000000" w:sz="8" w:space="0"/>
            </w:tcBorders>
            <w:vAlign w:val="center"/>
          </w:tcPr>
          <w:p w14:paraId="3BF52B9D">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管委会主任</w:t>
            </w:r>
          </w:p>
        </w:tc>
        <w:tc>
          <w:tcPr>
            <w:tcW w:w="1747" w:type="dxa"/>
            <w:tcBorders>
              <w:top w:val="single" w:color="000000" w:sz="8" w:space="0"/>
              <w:left w:val="single" w:color="000000" w:sz="8" w:space="0"/>
              <w:bottom w:val="single" w:color="000000" w:sz="8" w:space="0"/>
              <w:right w:val="single" w:color="000000" w:sz="8" w:space="0"/>
            </w:tcBorders>
            <w:vAlign w:val="center"/>
          </w:tcPr>
          <w:p w14:paraId="45A2F182">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13812320558</w:t>
            </w:r>
          </w:p>
        </w:tc>
      </w:tr>
      <w:tr w14:paraId="5DA375DA">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5822AE56">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w:t>
            </w:r>
          </w:p>
        </w:tc>
        <w:tc>
          <w:tcPr>
            <w:tcW w:w="2889" w:type="dxa"/>
            <w:tcBorders>
              <w:top w:val="single" w:color="000000" w:sz="8" w:space="0"/>
              <w:left w:val="single" w:color="000000" w:sz="8" w:space="0"/>
              <w:bottom w:val="single" w:color="000000" w:sz="8" w:space="0"/>
              <w:right w:val="single" w:color="000000" w:sz="8" w:space="0"/>
            </w:tcBorders>
            <w:vAlign w:val="center"/>
          </w:tcPr>
          <w:p w14:paraId="7A9C9B4A">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副指挥长</w:t>
            </w:r>
          </w:p>
        </w:tc>
        <w:tc>
          <w:tcPr>
            <w:tcW w:w="1330" w:type="dxa"/>
            <w:tcBorders>
              <w:top w:val="single" w:color="000000" w:sz="8" w:space="0"/>
              <w:left w:val="single" w:color="000000" w:sz="8" w:space="0"/>
              <w:bottom w:val="single" w:color="000000" w:sz="8" w:space="0"/>
              <w:right w:val="single" w:color="000000" w:sz="8" w:space="0"/>
            </w:tcBorders>
            <w:vAlign w:val="center"/>
          </w:tcPr>
          <w:p w14:paraId="3B1361F5">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胡传宏</w:t>
            </w:r>
          </w:p>
        </w:tc>
        <w:tc>
          <w:tcPr>
            <w:tcW w:w="1853" w:type="dxa"/>
            <w:tcBorders>
              <w:top w:val="single" w:color="000000" w:sz="8" w:space="0"/>
              <w:left w:val="single" w:color="000000" w:sz="8" w:space="0"/>
              <w:bottom w:val="single" w:color="000000" w:sz="8" w:space="0"/>
              <w:right w:val="single" w:color="000000" w:sz="8" w:space="0"/>
            </w:tcBorders>
            <w:vAlign w:val="center"/>
          </w:tcPr>
          <w:p w14:paraId="1848C4AE">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管委会副主任</w:t>
            </w:r>
          </w:p>
        </w:tc>
        <w:tc>
          <w:tcPr>
            <w:tcW w:w="1747" w:type="dxa"/>
            <w:tcBorders>
              <w:top w:val="single" w:color="000000" w:sz="8" w:space="0"/>
              <w:left w:val="single" w:color="000000" w:sz="8" w:space="0"/>
              <w:bottom w:val="single" w:color="000000" w:sz="8" w:space="0"/>
              <w:right w:val="single" w:color="000000" w:sz="8" w:space="0"/>
            </w:tcBorders>
            <w:vAlign w:val="center"/>
          </w:tcPr>
          <w:p w14:paraId="5709B64A">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13505139912</w:t>
            </w:r>
          </w:p>
        </w:tc>
      </w:tr>
      <w:tr w14:paraId="353F94FA">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1E56383F">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3</w:t>
            </w:r>
          </w:p>
        </w:tc>
        <w:tc>
          <w:tcPr>
            <w:tcW w:w="2889" w:type="dxa"/>
            <w:tcBorders>
              <w:top w:val="single" w:color="000000" w:sz="8" w:space="0"/>
              <w:left w:val="single" w:color="000000" w:sz="8" w:space="0"/>
              <w:bottom w:val="single" w:color="000000" w:sz="8" w:space="0"/>
              <w:right w:val="single" w:color="000000" w:sz="8" w:space="0"/>
            </w:tcBorders>
            <w:vAlign w:val="center"/>
          </w:tcPr>
          <w:p w14:paraId="2DFFC913">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副指挥长</w:t>
            </w:r>
          </w:p>
        </w:tc>
        <w:tc>
          <w:tcPr>
            <w:tcW w:w="1330" w:type="dxa"/>
            <w:tcBorders>
              <w:top w:val="single" w:color="000000" w:sz="8" w:space="0"/>
              <w:left w:val="single" w:color="000000" w:sz="8" w:space="0"/>
              <w:bottom w:val="single" w:color="000000" w:sz="8" w:space="0"/>
              <w:right w:val="single" w:color="000000" w:sz="8" w:space="0"/>
            </w:tcBorders>
            <w:vAlign w:val="center"/>
          </w:tcPr>
          <w:p w14:paraId="5C14ABAF">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王  波</w:t>
            </w:r>
          </w:p>
        </w:tc>
        <w:tc>
          <w:tcPr>
            <w:tcW w:w="1853" w:type="dxa"/>
            <w:tcBorders>
              <w:top w:val="single" w:color="000000" w:sz="8" w:space="0"/>
              <w:left w:val="single" w:color="000000" w:sz="8" w:space="0"/>
              <w:bottom w:val="single" w:color="000000" w:sz="8" w:space="0"/>
              <w:right w:val="single" w:color="000000" w:sz="8" w:space="0"/>
            </w:tcBorders>
            <w:vAlign w:val="center"/>
          </w:tcPr>
          <w:p w14:paraId="7980785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纪工委书记</w:t>
            </w:r>
          </w:p>
        </w:tc>
        <w:tc>
          <w:tcPr>
            <w:tcW w:w="1747" w:type="dxa"/>
            <w:tcBorders>
              <w:top w:val="single" w:color="000000" w:sz="8" w:space="0"/>
              <w:left w:val="single" w:color="000000" w:sz="8" w:space="0"/>
              <w:bottom w:val="single" w:color="000000" w:sz="8" w:space="0"/>
              <w:right w:val="single" w:color="000000" w:sz="8" w:space="0"/>
            </w:tcBorders>
            <w:vAlign w:val="center"/>
          </w:tcPr>
          <w:p w14:paraId="1B99A304">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15805136000</w:t>
            </w:r>
          </w:p>
        </w:tc>
      </w:tr>
      <w:tr w14:paraId="1446856B">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71CFAC42">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4</w:t>
            </w:r>
          </w:p>
        </w:tc>
        <w:tc>
          <w:tcPr>
            <w:tcW w:w="2889" w:type="dxa"/>
            <w:tcBorders>
              <w:top w:val="single" w:color="000000" w:sz="8" w:space="0"/>
              <w:left w:val="single" w:color="000000" w:sz="8" w:space="0"/>
              <w:bottom w:val="single" w:color="000000" w:sz="8" w:space="0"/>
              <w:right w:val="single" w:color="000000" w:sz="8" w:space="0"/>
            </w:tcBorders>
            <w:vAlign w:val="center"/>
          </w:tcPr>
          <w:p w14:paraId="54BC2F23">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副指挥长</w:t>
            </w:r>
          </w:p>
        </w:tc>
        <w:tc>
          <w:tcPr>
            <w:tcW w:w="1330" w:type="dxa"/>
            <w:tcBorders>
              <w:top w:val="single" w:color="000000" w:sz="8" w:space="0"/>
              <w:left w:val="single" w:color="000000" w:sz="8" w:space="0"/>
              <w:bottom w:val="single" w:color="000000" w:sz="8" w:space="0"/>
              <w:right w:val="single" w:color="000000" w:sz="8" w:space="0"/>
            </w:tcBorders>
            <w:vAlign w:val="center"/>
          </w:tcPr>
          <w:p w14:paraId="216F01AE">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万  军</w:t>
            </w:r>
          </w:p>
        </w:tc>
        <w:tc>
          <w:tcPr>
            <w:tcW w:w="1853" w:type="dxa"/>
            <w:tcBorders>
              <w:top w:val="single" w:color="000000" w:sz="8" w:space="0"/>
              <w:left w:val="single" w:color="000000" w:sz="8" w:space="0"/>
              <w:bottom w:val="single" w:color="000000" w:sz="8" w:space="0"/>
              <w:right w:val="single" w:color="000000" w:sz="8" w:space="0"/>
            </w:tcBorders>
            <w:vAlign w:val="center"/>
          </w:tcPr>
          <w:p w14:paraId="20AE312D">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管委会副主任</w:t>
            </w:r>
          </w:p>
        </w:tc>
        <w:tc>
          <w:tcPr>
            <w:tcW w:w="1747" w:type="dxa"/>
            <w:tcBorders>
              <w:top w:val="single" w:color="000000" w:sz="8" w:space="0"/>
              <w:left w:val="single" w:color="000000" w:sz="8" w:space="0"/>
              <w:bottom w:val="single" w:color="000000" w:sz="8" w:space="0"/>
              <w:right w:val="single" w:color="000000" w:sz="8" w:space="0"/>
            </w:tcBorders>
            <w:vAlign w:val="center"/>
          </w:tcPr>
          <w:p w14:paraId="2C91A14E">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13775586637</w:t>
            </w:r>
          </w:p>
        </w:tc>
      </w:tr>
      <w:tr w14:paraId="469A0491">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7CFA738A">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5</w:t>
            </w:r>
          </w:p>
        </w:tc>
        <w:tc>
          <w:tcPr>
            <w:tcW w:w="2889" w:type="dxa"/>
            <w:tcBorders>
              <w:top w:val="single" w:color="000000" w:sz="8" w:space="0"/>
              <w:left w:val="single" w:color="000000" w:sz="8" w:space="0"/>
              <w:bottom w:val="single" w:color="000000" w:sz="8" w:space="0"/>
              <w:right w:val="single" w:color="000000" w:sz="8" w:space="0"/>
            </w:tcBorders>
            <w:vAlign w:val="center"/>
          </w:tcPr>
          <w:p w14:paraId="1DA0B1D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区党政办</w:t>
            </w:r>
          </w:p>
        </w:tc>
        <w:tc>
          <w:tcPr>
            <w:tcW w:w="1330" w:type="dxa"/>
            <w:tcBorders>
              <w:top w:val="single" w:color="000000" w:sz="8" w:space="0"/>
              <w:left w:val="single" w:color="000000" w:sz="8" w:space="0"/>
              <w:bottom w:val="single" w:color="000000" w:sz="8" w:space="0"/>
              <w:right w:val="single" w:color="000000" w:sz="8" w:space="0"/>
            </w:tcBorders>
            <w:vAlign w:val="center"/>
          </w:tcPr>
          <w:p w14:paraId="486B520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曹  波</w:t>
            </w:r>
          </w:p>
        </w:tc>
        <w:tc>
          <w:tcPr>
            <w:tcW w:w="1853" w:type="dxa"/>
            <w:tcBorders>
              <w:top w:val="single" w:color="000000" w:sz="8" w:space="0"/>
              <w:left w:val="single" w:color="000000" w:sz="8" w:space="0"/>
              <w:bottom w:val="single" w:color="000000" w:sz="8" w:space="0"/>
              <w:right w:val="single" w:color="000000" w:sz="8" w:space="0"/>
            </w:tcBorders>
            <w:vAlign w:val="center"/>
          </w:tcPr>
          <w:p w14:paraId="1268A98F">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主任</w:t>
            </w:r>
          </w:p>
        </w:tc>
        <w:tc>
          <w:tcPr>
            <w:tcW w:w="1747" w:type="dxa"/>
            <w:tcBorders>
              <w:top w:val="single" w:color="000000" w:sz="8" w:space="0"/>
              <w:left w:val="single" w:color="000000" w:sz="8" w:space="0"/>
              <w:bottom w:val="single" w:color="000000" w:sz="8" w:space="0"/>
              <w:right w:val="single" w:color="000000" w:sz="8" w:space="0"/>
            </w:tcBorders>
            <w:vAlign w:val="center"/>
          </w:tcPr>
          <w:p w14:paraId="30A0D4AA">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13851217205</w:t>
            </w:r>
          </w:p>
        </w:tc>
      </w:tr>
      <w:tr w14:paraId="151264E4">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3D12630D">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6</w:t>
            </w:r>
          </w:p>
        </w:tc>
        <w:tc>
          <w:tcPr>
            <w:tcW w:w="2889" w:type="dxa"/>
            <w:tcBorders>
              <w:top w:val="single" w:color="000000" w:sz="8" w:space="0"/>
              <w:left w:val="single" w:color="000000" w:sz="8" w:space="0"/>
              <w:bottom w:val="single" w:color="000000" w:sz="8" w:space="0"/>
              <w:right w:val="single" w:color="000000" w:sz="8" w:space="0"/>
            </w:tcBorders>
            <w:vAlign w:val="center"/>
          </w:tcPr>
          <w:p w14:paraId="251E1DED">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区纪工委</w:t>
            </w:r>
          </w:p>
        </w:tc>
        <w:tc>
          <w:tcPr>
            <w:tcW w:w="1330" w:type="dxa"/>
            <w:tcBorders>
              <w:top w:val="single" w:color="000000" w:sz="8" w:space="0"/>
              <w:left w:val="single" w:color="000000" w:sz="8" w:space="0"/>
              <w:bottom w:val="single" w:color="000000" w:sz="8" w:space="0"/>
              <w:right w:val="single" w:color="000000" w:sz="8" w:space="0"/>
            </w:tcBorders>
            <w:vAlign w:val="center"/>
          </w:tcPr>
          <w:p w14:paraId="3B2B7797">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李永红</w:t>
            </w:r>
          </w:p>
        </w:tc>
        <w:tc>
          <w:tcPr>
            <w:tcW w:w="1853" w:type="dxa"/>
            <w:tcBorders>
              <w:top w:val="single" w:color="000000" w:sz="8" w:space="0"/>
              <w:left w:val="single" w:color="000000" w:sz="8" w:space="0"/>
              <w:bottom w:val="single" w:color="000000" w:sz="8" w:space="0"/>
              <w:right w:val="single" w:color="000000" w:sz="8" w:space="0"/>
            </w:tcBorders>
            <w:vAlign w:val="center"/>
          </w:tcPr>
          <w:p w14:paraId="459FD1FB">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副书记</w:t>
            </w:r>
          </w:p>
        </w:tc>
        <w:tc>
          <w:tcPr>
            <w:tcW w:w="1747" w:type="dxa"/>
            <w:tcBorders>
              <w:top w:val="single" w:color="000000" w:sz="8" w:space="0"/>
              <w:left w:val="single" w:color="000000" w:sz="8" w:space="0"/>
              <w:bottom w:val="single" w:color="000000" w:sz="8" w:space="0"/>
              <w:right w:val="single" w:color="000000" w:sz="8" w:space="0"/>
            </w:tcBorders>
            <w:vAlign w:val="center"/>
          </w:tcPr>
          <w:p w14:paraId="47D60ED4">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13775481591</w:t>
            </w:r>
          </w:p>
        </w:tc>
      </w:tr>
      <w:tr w14:paraId="7B1846D9">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5D01D6E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7</w:t>
            </w:r>
          </w:p>
        </w:tc>
        <w:tc>
          <w:tcPr>
            <w:tcW w:w="2889" w:type="dxa"/>
            <w:tcBorders>
              <w:top w:val="single" w:color="000000" w:sz="8" w:space="0"/>
              <w:left w:val="single" w:color="000000" w:sz="8" w:space="0"/>
              <w:bottom w:val="single" w:color="000000" w:sz="8" w:space="0"/>
              <w:right w:val="single" w:color="000000" w:sz="8" w:space="0"/>
            </w:tcBorders>
            <w:vAlign w:val="center"/>
          </w:tcPr>
          <w:p w14:paraId="09582B1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区组织宣传部</w:t>
            </w:r>
          </w:p>
        </w:tc>
        <w:tc>
          <w:tcPr>
            <w:tcW w:w="1330" w:type="dxa"/>
            <w:tcBorders>
              <w:top w:val="single" w:color="000000" w:sz="8" w:space="0"/>
              <w:left w:val="single" w:color="000000" w:sz="8" w:space="0"/>
              <w:bottom w:val="single" w:color="000000" w:sz="8" w:space="0"/>
              <w:right w:val="single" w:color="000000" w:sz="8" w:space="0"/>
            </w:tcBorders>
            <w:vAlign w:val="center"/>
          </w:tcPr>
          <w:p w14:paraId="040437A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程佩璇</w:t>
            </w:r>
          </w:p>
        </w:tc>
        <w:tc>
          <w:tcPr>
            <w:tcW w:w="1853" w:type="dxa"/>
            <w:tcBorders>
              <w:top w:val="single" w:color="000000" w:sz="8" w:space="0"/>
              <w:left w:val="single" w:color="000000" w:sz="8" w:space="0"/>
              <w:bottom w:val="single" w:color="000000" w:sz="8" w:space="0"/>
              <w:right w:val="single" w:color="000000" w:sz="8" w:space="0"/>
            </w:tcBorders>
            <w:vAlign w:val="center"/>
          </w:tcPr>
          <w:p w14:paraId="28A645B5">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部长</w:t>
            </w:r>
          </w:p>
        </w:tc>
        <w:tc>
          <w:tcPr>
            <w:tcW w:w="1747" w:type="dxa"/>
            <w:tcBorders>
              <w:top w:val="single" w:color="000000" w:sz="8" w:space="0"/>
              <w:left w:val="single" w:color="000000" w:sz="8" w:space="0"/>
              <w:bottom w:val="single" w:color="000000" w:sz="8" w:space="0"/>
              <w:right w:val="single" w:color="000000" w:sz="8" w:space="0"/>
            </w:tcBorders>
            <w:vAlign w:val="center"/>
          </w:tcPr>
          <w:p w14:paraId="573A17A3">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18961300001</w:t>
            </w:r>
          </w:p>
        </w:tc>
      </w:tr>
      <w:tr w14:paraId="4DB6B51D">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2DEA16FA">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8</w:t>
            </w:r>
          </w:p>
        </w:tc>
        <w:tc>
          <w:tcPr>
            <w:tcW w:w="2889" w:type="dxa"/>
            <w:tcBorders>
              <w:top w:val="single" w:color="000000" w:sz="8" w:space="0"/>
              <w:left w:val="single" w:color="000000" w:sz="8" w:space="0"/>
              <w:bottom w:val="single" w:color="000000" w:sz="8" w:space="0"/>
              <w:right w:val="single" w:color="000000" w:sz="8" w:space="0"/>
            </w:tcBorders>
            <w:vAlign w:val="center"/>
          </w:tcPr>
          <w:p w14:paraId="68A960AB">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区政法委</w:t>
            </w:r>
          </w:p>
        </w:tc>
        <w:tc>
          <w:tcPr>
            <w:tcW w:w="1330" w:type="dxa"/>
            <w:tcBorders>
              <w:top w:val="single" w:color="000000" w:sz="8" w:space="0"/>
              <w:left w:val="single" w:color="000000" w:sz="8" w:space="0"/>
              <w:bottom w:val="single" w:color="000000" w:sz="8" w:space="0"/>
              <w:right w:val="single" w:color="000000" w:sz="8" w:space="0"/>
            </w:tcBorders>
            <w:vAlign w:val="center"/>
          </w:tcPr>
          <w:p w14:paraId="202CAFD0">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林建萍</w:t>
            </w:r>
          </w:p>
        </w:tc>
        <w:tc>
          <w:tcPr>
            <w:tcW w:w="1853" w:type="dxa"/>
            <w:tcBorders>
              <w:top w:val="single" w:color="000000" w:sz="8" w:space="0"/>
              <w:left w:val="single" w:color="000000" w:sz="8" w:space="0"/>
              <w:bottom w:val="single" w:color="000000" w:sz="8" w:space="0"/>
              <w:right w:val="single" w:color="000000" w:sz="8" w:space="0"/>
            </w:tcBorders>
            <w:vAlign w:val="center"/>
          </w:tcPr>
          <w:p w14:paraId="390CFC76">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14:paraId="4A3717BE">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13905139580</w:t>
            </w:r>
          </w:p>
        </w:tc>
      </w:tr>
      <w:tr w14:paraId="5A915706">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142A91F7">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9</w:t>
            </w:r>
          </w:p>
        </w:tc>
        <w:tc>
          <w:tcPr>
            <w:tcW w:w="2889" w:type="dxa"/>
            <w:tcBorders>
              <w:top w:val="single" w:color="000000" w:sz="8" w:space="0"/>
              <w:left w:val="single" w:color="000000" w:sz="8" w:space="0"/>
              <w:bottom w:val="single" w:color="000000" w:sz="8" w:space="0"/>
              <w:right w:val="single" w:color="000000" w:sz="8" w:space="0"/>
            </w:tcBorders>
            <w:vAlign w:val="center"/>
          </w:tcPr>
          <w:p w14:paraId="2DB31C99">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区经发局</w:t>
            </w:r>
          </w:p>
        </w:tc>
        <w:tc>
          <w:tcPr>
            <w:tcW w:w="1330" w:type="dxa"/>
            <w:tcBorders>
              <w:top w:val="single" w:color="000000" w:sz="8" w:space="0"/>
              <w:left w:val="single" w:color="000000" w:sz="8" w:space="0"/>
              <w:bottom w:val="single" w:color="000000" w:sz="8" w:space="0"/>
              <w:right w:val="single" w:color="000000" w:sz="8" w:space="0"/>
            </w:tcBorders>
            <w:vAlign w:val="center"/>
          </w:tcPr>
          <w:p w14:paraId="522B7E62">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杨东文</w:t>
            </w:r>
          </w:p>
        </w:tc>
        <w:tc>
          <w:tcPr>
            <w:tcW w:w="1853" w:type="dxa"/>
            <w:tcBorders>
              <w:top w:val="single" w:color="000000" w:sz="8" w:space="0"/>
              <w:left w:val="single" w:color="000000" w:sz="8" w:space="0"/>
              <w:bottom w:val="single" w:color="000000" w:sz="8" w:space="0"/>
              <w:right w:val="single" w:color="000000" w:sz="8" w:space="0"/>
            </w:tcBorders>
            <w:vAlign w:val="center"/>
          </w:tcPr>
          <w:p w14:paraId="46DA80A3">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14:paraId="615C48F2">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13905130201</w:t>
            </w:r>
          </w:p>
        </w:tc>
      </w:tr>
      <w:tr w14:paraId="7995D742">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20616B77">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10</w:t>
            </w:r>
          </w:p>
        </w:tc>
        <w:tc>
          <w:tcPr>
            <w:tcW w:w="2889" w:type="dxa"/>
            <w:tcBorders>
              <w:top w:val="single" w:color="000000" w:sz="8" w:space="0"/>
              <w:left w:val="single" w:color="000000" w:sz="8" w:space="0"/>
              <w:bottom w:val="single" w:color="000000" w:sz="8" w:space="0"/>
              <w:right w:val="single" w:color="000000" w:sz="8" w:space="0"/>
            </w:tcBorders>
            <w:vAlign w:val="center"/>
          </w:tcPr>
          <w:p w14:paraId="2F40DEFA">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区科技局</w:t>
            </w:r>
          </w:p>
        </w:tc>
        <w:tc>
          <w:tcPr>
            <w:tcW w:w="1330" w:type="dxa"/>
            <w:tcBorders>
              <w:top w:val="single" w:color="000000" w:sz="8" w:space="0"/>
              <w:left w:val="single" w:color="000000" w:sz="8" w:space="0"/>
              <w:bottom w:val="single" w:color="000000" w:sz="8" w:space="0"/>
              <w:right w:val="single" w:color="000000" w:sz="8" w:space="0"/>
            </w:tcBorders>
            <w:vAlign w:val="center"/>
          </w:tcPr>
          <w:p w14:paraId="598D5CA3">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倪  琴</w:t>
            </w:r>
          </w:p>
        </w:tc>
        <w:tc>
          <w:tcPr>
            <w:tcW w:w="1853" w:type="dxa"/>
            <w:tcBorders>
              <w:top w:val="single" w:color="000000" w:sz="8" w:space="0"/>
              <w:left w:val="single" w:color="000000" w:sz="8" w:space="0"/>
              <w:bottom w:val="single" w:color="000000" w:sz="8" w:space="0"/>
              <w:right w:val="single" w:color="000000" w:sz="8" w:space="0"/>
            </w:tcBorders>
            <w:vAlign w:val="center"/>
          </w:tcPr>
          <w:p w14:paraId="6644A7EB">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14:paraId="793CE9D8">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13961390660</w:t>
            </w:r>
          </w:p>
        </w:tc>
      </w:tr>
      <w:tr w14:paraId="30725C4D">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6CB7CF40">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11</w:t>
            </w:r>
          </w:p>
        </w:tc>
        <w:tc>
          <w:tcPr>
            <w:tcW w:w="2889" w:type="dxa"/>
            <w:tcBorders>
              <w:top w:val="single" w:color="000000" w:sz="8" w:space="0"/>
              <w:left w:val="single" w:color="000000" w:sz="8" w:space="0"/>
              <w:bottom w:val="single" w:color="000000" w:sz="8" w:space="0"/>
              <w:right w:val="single" w:color="000000" w:sz="8" w:space="0"/>
            </w:tcBorders>
            <w:vAlign w:val="center"/>
          </w:tcPr>
          <w:p w14:paraId="4B3F604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区财政局</w:t>
            </w:r>
          </w:p>
        </w:tc>
        <w:tc>
          <w:tcPr>
            <w:tcW w:w="1330" w:type="dxa"/>
            <w:tcBorders>
              <w:top w:val="single" w:color="000000" w:sz="8" w:space="0"/>
              <w:left w:val="single" w:color="000000" w:sz="8" w:space="0"/>
              <w:bottom w:val="single" w:color="000000" w:sz="8" w:space="0"/>
              <w:right w:val="single" w:color="000000" w:sz="8" w:space="0"/>
            </w:tcBorders>
            <w:vAlign w:val="center"/>
          </w:tcPr>
          <w:p w14:paraId="1D317DAE">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田义华</w:t>
            </w:r>
          </w:p>
        </w:tc>
        <w:tc>
          <w:tcPr>
            <w:tcW w:w="1853" w:type="dxa"/>
            <w:tcBorders>
              <w:top w:val="single" w:color="000000" w:sz="8" w:space="0"/>
              <w:left w:val="single" w:color="000000" w:sz="8" w:space="0"/>
              <w:bottom w:val="single" w:color="000000" w:sz="8" w:space="0"/>
              <w:right w:val="single" w:color="000000" w:sz="8" w:space="0"/>
            </w:tcBorders>
            <w:vAlign w:val="center"/>
          </w:tcPr>
          <w:p w14:paraId="0E232088">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14:paraId="086D2408">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13775589269</w:t>
            </w:r>
          </w:p>
        </w:tc>
      </w:tr>
      <w:tr w14:paraId="31DDF4D5">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27F37310">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12</w:t>
            </w:r>
          </w:p>
        </w:tc>
        <w:tc>
          <w:tcPr>
            <w:tcW w:w="2889" w:type="dxa"/>
            <w:tcBorders>
              <w:top w:val="single" w:color="000000" w:sz="8" w:space="0"/>
              <w:left w:val="single" w:color="000000" w:sz="8" w:space="0"/>
              <w:bottom w:val="single" w:color="000000" w:sz="8" w:space="0"/>
              <w:right w:val="single" w:color="000000" w:sz="8" w:space="0"/>
            </w:tcBorders>
            <w:vAlign w:val="center"/>
          </w:tcPr>
          <w:p w14:paraId="7BBC90EF">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区人社局</w:t>
            </w:r>
          </w:p>
        </w:tc>
        <w:tc>
          <w:tcPr>
            <w:tcW w:w="1330" w:type="dxa"/>
            <w:tcBorders>
              <w:top w:val="single" w:color="000000" w:sz="8" w:space="0"/>
              <w:left w:val="single" w:color="000000" w:sz="8" w:space="0"/>
              <w:bottom w:val="single" w:color="000000" w:sz="8" w:space="0"/>
              <w:right w:val="single" w:color="000000" w:sz="8" w:space="0"/>
            </w:tcBorders>
            <w:vAlign w:val="center"/>
          </w:tcPr>
          <w:p w14:paraId="50421490">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王陆英</w:t>
            </w:r>
          </w:p>
        </w:tc>
        <w:tc>
          <w:tcPr>
            <w:tcW w:w="1853" w:type="dxa"/>
            <w:tcBorders>
              <w:top w:val="single" w:color="000000" w:sz="8" w:space="0"/>
              <w:left w:val="single" w:color="000000" w:sz="8" w:space="0"/>
              <w:bottom w:val="single" w:color="000000" w:sz="8" w:space="0"/>
              <w:right w:val="single" w:color="000000" w:sz="8" w:space="0"/>
            </w:tcBorders>
            <w:vAlign w:val="center"/>
          </w:tcPr>
          <w:p w14:paraId="29471F97">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14:paraId="08BC84ED">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13851275566</w:t>
            </w:r>
          </w:p>
        </w:tc>
      </w:tr>
      <w:tr w14:paraId="485C9608">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0E2B66B2">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w:t>
            </w:r>
          </w:p>
        </w:tc>
        <w:tc>
          <w:tcPr>
            <w:tcW w:w="2889" w:type="dxa"/>
            <w:tcBorders>
              <w:top w:val="single" w:color="000000" w:sz="8" w:space="0"/>
              <w:left w:val="single" w:color="000000" w:sz="8" w:space="0"/>
              <w:bottom w:val="single" w:color="000000" w:sz="8" w:space="0"/>
              <w:right w:val="single" w:color="000000" w:sz="8" w:space="0"/>
            </w:tcBorders>
            <w:vAlign w:val="center"/>
          </w:tcPr>
          <w:p w14:paraId="4135B41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区住建局</w:t>
            </w:r>
          </w:p>
        </w:tc>
        <w:tc>
          <w:tcPr>
            <w:tcW w:w="1330" w:type="dxa"/>
            <w:tcBorders>
              <w:top w:val="single" w:color="000000" w:sz="8" w:space="0"/>
              <w:left w:val="single" w:color="000000" w:sz="8" w:space="0"/>
              <w:bottom w:val="single" w:color="000000" w:sz="8" w:space="0"/>
              <w:right w:val="single" w:color="000000" w:sz="8" w:space="0"/>
            </w:tcBorders>
            <w:vAlign w:val="center"/>
          </w:tcPr>
          <w:p w14:paraId="700A2EB3">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肖作仁</w:t>
            </w:r>
          </w:p>
        </w:tc>
        <w:tc>
          <w:tcPr>
            <w:tcW w:w="1853" w:type="dxa"/>
            <w:tcBorders>
              <w:top w:val="single" w:color="000000" w:sz="8" w:space="0"/>
              <w:left w:val="single" w:color="000000" w:sz="8" w:space="0"/>
              <w:bottom w:val="single" w:color="000000" w:sz="8" w:space="0"/>
              <w:right w:val="single" w:color="000000" w:sz="8" w:space="0"/>
            </w:tcBorders>
            <w:vAlign w:val="center"/>
          </w:tcPr>
          <w:p w14:paraId="035B2C5D">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14:paraId="132C91A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13861430058</w:t>
            </w:r>
          </w:p>
        </w:tc>
      </w:tr>
      <w:tr w14:paraId="79EF482F">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25C0FB9C">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14</w:t>
            </w:r>
          </w:p>
        </w:tc>
        <w:tc>
          <w:tcPr>
            <w:tcW w:w="2889" w:type="dxa"/>
            <w:tcBorders>
              <w:top w:val="single" w:color="000000" w:sz="8" w:space="0"/>
              <w:left w:val="single" w:color="000000" w:sz="8" w:space="0"/>
              <w:bottom w:val="single" w:color="000000" w:sz="8" w:space="0"/>
              <w:right w:val="single" w:color="000000" w:sz="8" w:space="0"/>
            </w:tcBorders>
            <w:vAlign w:val="center"/>
          </w:tcPr>
          <w:p w14:paraId="2D9D4B6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区社会事业局</w:t>
            </w:r>
          </w:p>
        </w:tc>
        <w:tc>
          <w:tcPr>
            <w:tcW w:w="1330" w:type="dxa"/>
            <w:tcBorders>
              <w:top w:val="single" w:color="000000" w:sz="8" w:space="0"/>
              <w:left w:val="single" w:color="000000" w:sz="8" w:space="0"/>
              <w:bottom w:val="single" w:color="000000" w:sz="8" w:space="0"/>
              <w:right w:val="single" w:color="000000" w:sz="8" w:space="0"/>
            </w:tcBorders>
            <w:vAlign w:val="center"/>
          </w:tcPr>
          <w:p w14:paraId="79045B43">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苏月虹</w:t>
            </w:r>
          </w:p>
        </w:tc>
        <w:tc>
          <w:tcPr>
            <w:tcW w:w="1853" w:type="dxa"/>
            <w:tcBorders>
              <w:top w:val="single" w:color="000000" w:sz="8" w:space="0"/>
              <w:left w:val="single" w:color="000000" w:sz="8" w:space="0"/>
              <w:bottom w:val="single" w:color="000000" w:sz="8" w:space="0"/>
              <w:right w:val="single" w:color="000000" w:sz="8" w:space="0"/>
            </w:tcBorders>
            <w:vAlign w:val="center"/>
          </w:tcPr>
          <w:p w14:paraId="5E840396">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14:paraId="6EDCAE50">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13775589339</w:t>
            </w:r>
          </w:p>
        </w:tc>
      </w:tr>
      <w:tr w14:paraId="591955AB">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6734DAF2">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15</w:t>
            </w:r>
          </w:p>
        </w:tc>
        <w:tc>
          <w:tcPr>
            <w:tcW w:w="2889" w:type="dxa"/>
            <w:tcBorders>
              <w:top w:val="single" w:color="000000" w:sz="8" w:space="0"/>
              <w:left w:val="single" w:color="000000" w:sz="8" w:space="0"/>
              <w:bottom w:val="single" w:color="000000" w:sz="8" w:space="0"/>
              <w:right w:val="single" w:color="000000" w:sz="8" w:space="0"/>
            </w:tcBorders>
            <w:vAlign w:val="center"/>
          </w:tcPr>
          <w:p w14:paraId="4D90837B">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区行政审批局</w:t>
            </w:r>
          </w:p>
        </w:tc>
        <w:tc>
          <w:tcPr>
            <w:tcW w:w="1330" w:type="dxa"/>
            <w:tcBorders>
              <w:top w:val="single" w:color="000000" w:sz="8" w:space="0"/>
              <w:left w:val="single" w:color="000000" w:sz="8" w:space="0"/>
              <w:bottom w:val="single" w:color="000000" w:sz="8" w:space="0"/>
              <w:right w:val="single" w:color="000000" w:sz="8" w:space="0"/>
            </w:tcBorders>
            <w:vAlign w:val="center"/>
          </w:tcPr>
          <w:p w14:paraId="7749A6F5">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许正祥</w:t>
            </w:r>
          </w:p>
        </w:tc>
        <w:tc>
          <w:tcPr>
            <w:tcW w:w="1853" w:type="dxa"/>
            <w:tcBorders>
              <w:top w:val="single" w:color="000000" w:sz="8" w:space="0"/>
              <w:left w:val="single" w:color="000000" w:sz="8" w:space="0"/>
              <w:bottom w:val="single" w:color="000000" w:sz="8" w:space="0"/>
              <w:right w:val="single" w:color="000000" w:sz="8" w:space="0"/>
            </w:tcBorders>
            <w:vAlign w:val="center"/>
          </w:tcPr>
          <w:p w14:paraId="181BB2DC">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14:paraId="7CD4BF4D">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13861439967</w:t>
            </w:r>
          </w:p>
        </w:tc>
      </w:tr>
      <w:tr w14:paraId="6FB76844">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3EF4B23B">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16</w:t>
            </w:r>
          </w:p>
        </w:tc>
        <w:tc>
          <w:tcPr>
            <w:tcW w:w="2889" w:type="dxa"/>
            <w:tcBorders>
              <w:top w:val="single" w:color="000000" w:sz="8" w:space="0"/>
              <w:left w:val="single" w:color="000000" w:sz="8" w:space="0"/>
              <w:bottom w:val="single" w:color="000000" w:sz="8" w:space="0"/>
              <w:right w:val="single" w:color="000000" w:sz="8" w:space="0"/>
            </w:tcBorders>
            <w:vAlign w:val="center"/>
          </w:tcPr>
          <w:p w14:paraId="3B3C1FA3">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区综合行政执法局</w:t>
            </w:r>
          </w:p>
        </w:tc>
        <w:tc>
          <w:tcPr>
            <w:tcW w:w="1330" w:type="dxa"/>
            <w:tcBorders>
              <w:top w:val="single" w:color="000000" w:sz="8" w:space="0"/>
              <w:left w:val="single" w:color="000000" w:sz="8" w:space="0"/>
              <w:bottom w:val="single" w:color="000000" w:sz="8" w:space="0"/>
              <w:right w:val="single" w:color="000000" w:sz="8" w:space="0"/>
            </w:tcBorders>
            <w:vAlign w:val="center"/>
          </w:tcPr>
          <w:p w14:paraId="1015A63E">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殷  元</w:t>
            </w:r>
          </w:p>
        </w:tc>
        <w:tc>
          <w:tcPr>
            <w:tcW w:w="1853" w:type="dxa"/>
            <w:tcBorders>
              <w:top w:val="single" w:color="000000" w:sz="8" w:space="0"/>
              <w:left w:val="single" w:color="000000" w:sz="8" w:space="0"/>
              <w:bottom w:val="single" w:color="000000" w:sz="8" w:space="0"/>
              <w:right w:val="single" w:color="000000" w:sz="8" w:space="0"/>
            </w:tcBorders>
            <w:vAlign w:val="center"/>
          </w:tcPr>
          <w:p w14:paraId="6C754422">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14:paraId="01FB1A6A">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13812341135</w:t>
            </w:r>
          </w:p>
        </w:tc>
      </w:tr>
      <w:tr w14:paraId="21665873">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074FE77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17</w:t>
            </w:r>
          </w:p>
        </w:tc>
        <w:tc>
          <w:tcPr>
            <w:tcW w:w="2889" w:type="dxa"/>
            <w:tcBorders>
              <w:top w:val="single" w:color="000000" w:sz="8" w:space="0"/>
              <w:left w:val="single" w:color="000000" w:sz="8" w:space="0"/>
              <w:bottom w:val="single" w:color="000000" w:sz="8" w:space="0"/>
              <w:right w:val="single" w:color="000000" w:sz="8" w:space="0"/>
            </w:tcBorders>
            <w:vAlign w:val="center"/>
          </w:tcPr>
          <w:p w14:paraId="207E510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区应急管理局</w:t>
            </w:r>
          </w:p>
        </w:tc>
        <w:tc>
          <w:tcPr>
            <w:tcW w:w="1330" w:type="dxa"/>
            <w:tcBorders>
              <w:top w:val="single" w:color="000000" w:sz="8" w:space="0"/>
              <w:left w:val="single" w:color="000000" w:sz="8" w:space="0"/>
              <w:bottom w:val="single" w:color="000000" w:sz="8" w:space="0"/>
              <w:right w:val="single" w:color="000000" w:sz="8" w:space="0"/>
            </w:tcBorders>
            <w:vAlign w:val="center"/>
          </w:tcPr>
          <w:p w14:paraId="49D60406">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许春明</w:t>
            </w:r>
          </w:p>
        </w:tc>
        <w:tc>
          <w:tcPr>
            <w:tcW w:w="1853" w:type="dxa"/>
            <w:tcBorders>
              <w:top w:val="single" w:color="000000" w:sz="8" w:space="0"/>
              <w:left w:val="single" w:color="000000" w:sz="8" w:space="0"/>
              <w:bottom w:val="single" w:color="000000" w:sz="8" w:space="0"/>
              <w:right w:val="single" w:color="000000" w:sz="8" w:space="0"/>
            </w:tcBorders>
            <w:vAlign w:val="center"/>
          </w:tcPr>
          <w:p w14:paraId="5F5CF497">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14:paraId="2D61174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13805139150</w:t>
            </w:r>
          </w:p>
        </w:tc>
      </w:tr>
      <w:tr w14:paraId="0253C224">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0AF6C305">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18</w:t>
            </w:r>
          </w:p>
        </w:tc>
        <w:tc>
          <w:tcPr>
            <w:tcW w:w="2889" w:type="dxa"/>
            <w:tcBorders>
              <w:top w:val="single" w:color="000000" w:sz="8" w:space="0"/>
              <w:left w:val="single" w:color="000000" w:sz="8" w:space="0"/>
              <w:bottom w:val="single" w:color="000000" w:sz="8" w:space="0"/>
              <w:right w:val="single" w:color="000000" w:sz="8" w:space="0"/>
            </w:tcBorders>
            <w:vAlign w:val="center"/>
          </w:tcPr>
          <w:p w14:paraId="3CB09A1D">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市生态环境局开发区分局</w:t>
            </w:r>
          </w:p>
        </w:tc>
        <w:tc>
          <w:tcPr>
            <w:tcW w:w="1330" w:type="dxa"/>
            <w:tcBorders>
              <w:top w:val="single" w:color="000000" w:sz="8" w:space="0"/>
              <w:left w:val="single" w:color="000000" w:sz="8" w:space="0"/>
              <w:bottom w:val="single" w:color="000000" w:sz="8" w:space="0"/>
              <w:right w:val="single" w:color="000000" w:sz="8" w:space="0"/>
            </w:tcBorders>
            <w:vAlign w:val="center"/>
          </w:tcPr>
          <w:p w14:paraId="2CD6C274">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侯海斌</w:t>
            </w:r>
          </w:p>
        </w:tc>
        <w:tc>
          <w:tcPr>
            <w:tcW w:w="1853" w:type="dxa"/>
            <w:tcBorders>
              <w:top w:val="single" w:color="000000" w:sz="8" w:space="0"/>
              <w:left w:val="single" w:color="000000" w:sz="8" w:space="0"/>
              <w:bottom w:val="single" w:color="000000" w:sz="8" w:space="0"/>
              <w:right w:val="single" w:color="000000" w:sz="8" w:space="0"/>
            </w:tcBorders>
            <w:vAlign w:val="center"/>
          </w:tcPr>
          <w:p w14:paraId="5FD2648A">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14:paraId="57D7F63C">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13905138571</w:t>
            </w:r>
          </w:p>
        </w:tc>
      </w:tr>
      <w:tr w14:paraId="5C650A60">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75B22255">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19</w:t>
            </w:r>
          </w:p>
        </w:tc>
        <w:tc>
          <w:tcPr>
            <w:tcW w:w="2889" w:type="dxa"/>
            <w:tcBorders>
              <w:top w:val="single" w:color="000000" w:sz="8" w:space="0"/>
              <w:left w:val="single" w:color="000000" w:sz="8" w:space="0"/>
              <w:bottom w:val="single" w:color="000000" w:sz="8" w:space="0"/>
              <w:right w:val="single" w:color="000000" w:sz="8" w:space="0"/>
            </w:tcBorders>
            <w:vAlign w:val="center"/>
          </w:tcPr>
          <w:p w14:paraId="7ABCD1D3">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新海连集团</w:t>
            </w:r>
          </w:p>
        </w:tc>
        <w:tc>
          <w:tcPr>
            <w:tcW w:w="1330" w:type="dxa"/>
            <w:tcBorders>
              <w:top w:val="single" w:color="000000" w:sz="8" w:space="0"/>
              <w:left w:val="single" w:color="000000" w:sz="8" w:space="0"/>
              <w:bottom w:val="single" w:color="000000" w:sz="8" w:space="0"/>
              <w:right w:val="single" w:color="000000" w:sz="8" w:space="0"/>
            </w:tcBorders>
            <w:vAlign w:val="center"/>
          </w:tcPr>
          <w:p w14:paraId="4B9768BE">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刘  坚</w:t>
            </w:r>
          </w:p>
        </w:tc>
        <w:tc>
          <w:tcPr>
            <w:tcW w:w="1853" w:type="dxa"/>
            <w:tcBorders>
              <w:top w:val="single" w:color="000000" w:sz="8" w:space="0"/>
              <w:left w:val="single" w:color="000000" w:sz="8" w:space="0"/>
              <w:bottom w:val="single" w:color="000000" w:sz="8" w:space="0"/>
              <w:right w:val="single" w:color="000000" w:sz="8" w:space="0"/>
            </w:tcBorders>
            <w:vAlign w:val="center"/>
          </w:tcPr>
          <w:p w14:paraId="1A8F7317">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总经理</w:t>
            </w:r>
          </w:p>
        </w:tc>
        <w:tc>
          <w:tcPr>
            <w:tcW w:w="1747" w:type="dxa"/>
            <w:tcBorders>
              <w:top w:val="single" w:color="000000" w:sz="8" w:space="0"/>
              <w:left w:val="single" w:color="000000" w:sz="8" w:space="0"/>
              <w:bottom w:val="single" w:color="000000" w:sz="8" w:space="0"/>
              <w:right w:val="single" w:color="000000" w:sz="8" w:space="0"/>
            </w:tcBorders>
            <w:vAlign w:val="center"/>
          </w:tcPr>
          <w:p w14:paraId="12D2318B">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13812349046</w:t>
            </w:r>
          </w:p>
        </w:tc>
      </w:tr>
      <w:tr w14:paraId="7419B9CF">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6887BEFC">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20</w:t>
            </w:r>
          </w:p>
        </w:tc>
        <w:tc>
          <w:tcPr>
            <w:tcW w:w="2889" w:type="dxa"/>
            <w:tcBorders>
              <w:top w:val="single" w:color="000000" w:sz="8" w:space="0"/>
              <w:left w:val="single" w:color="000000" w:sz="8" w:space="0"/>
              <w:bottom w:val="single" w:color="000000" w:sz="8" w:space="0"/>
              <w:right w:val="single" w:color="000000" w:sz="8" w:space="0"/>
            </w:tcBorders>
            <w:vAlign w:val="center"/>
          </w:tcPr>
          <w:p w14:paraId="16EDC7E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中云道办事处</w:t>
            </w:r>
          </w:p>
        </w:tc>
        <w:tc>
          <w:tcPr>
            <w:tcW w:w="1330" w:type="dxa"/>
            <w:tcBorders>
              <w:top w:val="single" w:color="000000" w:sz="8" w:space="0"/>
              <w:left w:val="single" w:color="000000" w:sz="8" w:space="0"/>
              <w:bottom w:val="single" w:color="000000" w:sz="8" w:space="0"/>
              <w:right w:val="single" w:color="000000" w:sz="8" w:space="0"/>
            </w:tcBorders>
            <w:vAlign w:val="center"/>
          </w:tcPr>
          <w:p w14:paraId="1865296D">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韩  艳</w:t>
            </w:r>
          </w:p>
        </w:tc>
        <w:tc>
          <w:tcPr>
            <w:tcW w:w="1853" w:type="dxa"/>
            <w:tcBorders>
              <w:top w:val="single" w:color="000000" w:sz="8" w:space="0"/>
              <w:left w:val="single" w:color="000000" w:sz="8" w:space="0"/>
              <w:bottom w:val="single" w:color="000000" w:sz="8" w:space="0"/>
              <w:right w:val="single" w:color="000000" w:sz="8" w:space="0"/>
            </w:tcBorders>
            <w:vAlign w:val="center"/>
          </w:tcPr>
          <w:p w14:paraId="72B13A43">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书记</w:t>
            </w:r>
          </w:p>
        </w:tc>
        <w:tc>
          <w:tcPr>
            <w:tcW w:w="1747" w:type="dxa"/>
            <w:tcBorders>
              <w:top w:val="single" w:color="000000" w:sz="8" w:space="0"/>
              <w:left w:val="single" w:color="000000" w:sz="8" w:space="0"/>
              <w:bottom w:val="single" w:color="000000" w:sz="8" w:space="0"/>
              <w:right w:val="single" w:color="000000" w:sz="8" w:space="0"/>
            </w:tcBorders>
            <w:vAlign w:val="center"/>
          </w:tcPr>
          <w:p w14:paraId="055A1FE2">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13812346543</w:t>
            </w:r>
          </w:p>
        </w:tc>
      </w:tr>
      <w:tr w14:paraId="316F9A92">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69BF2FD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21</w:t>
            </w:r>
          </w:p>
        </w:tc>
        <w:tc>
          <w:tcPr>
            <w:tcW w:w="2889" w:type="dxa"/>
            <w:tcBorders>
              <w:top w:val="single" w:color="000000" w:sz="8" w:space="0"/>
              <w:left w:val="single" w:color="000000" w:sz="8" w:space="0"/>
              <w:bottom w:val="single" w:color="000000" w:sz="8" w:space="0"/>
              <w:right w:val="single" w:color="000000" w:sz="8" w:space="0"/>
            </w:tcBorders>
            <w:vAlign w:val="center"/>
          </w:tcPr>
          <w:p w14:paraId="22CA997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朝阳道办事处</w:t>
            </w:r>
          </w:p>
        </w:tc>
        <w:tc>
          <w:tcPr>
            <w:tcW w:w="1330" w:type="dxa"/>
            <w:tcBorders>
              <w:top w:val="single" w:color="000000" w:sz="8" w:space="0"/>
              <w:left w:val="single" w:color="000000" w:sz="8" w:space="0"/>
              <w:bottom w:val="single" w:color="000000" w:sz="8" w:space="0"/>
              <w:right w:val="single" w:color="000000" w:sz="8" w:space="0"/>
            </w:tcBorders>
            <w:vAlign w:val="center"/>
          </w:tcPr>
          <w:p w14:paraId="6C51A919">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殷振邦</w:t>
            </w:r>
          </w:p>
        </w:tc>
        <w:tc>
          <w:tcPr>
            <w:tcW w:w="1853" w:type="dxa"/>
            <w:tcBorders>
              <w:top w:val="single" w:color="000000" w:sz="8" w:space="0"/>
              <w:left w:val="single" w:color="000000" w:sz="8" w:space="0"/>
              <w:bottom w:val="single" w:color="000000" w:sz="8" w:space="0"/>
              <w:right w:val="single" w:color="000000" w:sz="8" w:space="0"/>
            </w:tcBorders>
            <w:vAlign w:val="center"/>
          </w:tcPr>
          <w:p w14:paraId="1974AE42">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书记</w:t>
            </w:r>
          </w:p>
        </w:tc>
        <w:tc>
          <w:tcPr>
            <w:tcW w:w="1747" w:type="dxa"/>
            <w:tcBorders>
              <w:top w:val="single" w:color="000000" w:sz="8" w:space="0"/>
              <w:left w:val="single" w:color="000000" w:sz="8" w:space="0"/>
              <w:bottom w:val="single" w:color="000000" w:sz="8" w:space="0"/>
              <w:right w:val="single" w:color="000000" w:sz="8" w:space="0"/>
            </w:tcBorders>
            <w:vAlign w:val="center"/>
          </w:tcPr>
          <w:p w14:paraId="2F55D7D7">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13851230781</w:t>
            </w:r>
          </w:p>
        </w:tc>
      </w:tr>
      <w:tr w14:paraId="084BADD7">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039A3AD7">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22</w:t>
            </w:r>
          </w:p>
        </w:tc>
        <w:tc>
          <w:tcPr>
            <w:tcW w:w="2889" w:type="dxa"/>
            <w:tcBorders>
              <w:top w:val="single" w:color="000000" w:sz="8" w:space="0"/>
              <w:left w:val="single" w:color="000000" w:sz="8" w:space="0"/>
              <w:bottom w:val="single" w:color="000000" w:sz="8" w:space="0"/>
              <w:right w:val="single" w:color="000000" w:sz="8" w:space="0"/>
            </w:tcBorders>
            <w:vAlign w:val="center"/>
          </w:tcPr>
          <w:p w14:paraId="72BEFEAB">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猴嘴道办事处</w:t>
            </w:r>
          </w:p>
        </w:tc>
        <w:tc>
          <w:tcPr>
            <w:tcW w:w="1330" w:type="dxa"/>
            <w:tcBorders>
              <w:top w:val="single" w:color="000000" w:sz="8" w:space="0"/>
              <w:left w:val="single" w:color="000000" w:sz="8" w:space="0"/>
              <w:bottom w:val="single" w:color="000000" w:sz="8" w:space="0"/>
              <w:right w:val="single" w:color="000000" w:sz="8" w:space="0"/>
            </w:tcBorders>
            <w:vAlign w:val="center"/>
          </w:tcPr>
          <w:p w14:paraId="39626F79">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赵士安</w:t>
            </w:r>
          </w:p>
        </w:tc>
        <w:tc>
          <w:tcPr>
            <w:tcW w:w="1853" w:type="dxa"/>
            <w:tcBorders>
              <w:top w:val="single" w:color="000000" w:sz="8" w:space="0"/>
              <w:left w:val="single" w:color="000000" w:sz="8" w:space="0"/>
              <w:bottom w:val="single" w:color="000000" w:sz="8" w:space="0"/>
              <w:right w:val="single" w:color="000000" w:sz="8" w:space="0"/>
            </w:tcBorders>
            <w:vAlign w:val="center"/>
          </w:tcPr>
          <w:p w14:paraId="0DE62174">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书记</w:t>
            </w:r>
          </w:p>
        </w:tc>
        <w:tc>
          <w:tcPr>
            <w:tcW w:w="1747" w:type="dxa"/>
            <w:tcBorders>
              <w:top w:val="single" w:color="000000" w:sz="8" w:space="0"/>
              <w:left w:val="single" w:color="000000" w:sz="8" w:space="0"/>
              <w:bottom w:val="single" w:color="000000" w:sz="8" w:space="0"/>
              <w:right w:val="single" w:color="000000" w:sz="8" w:space="0"/>
            </w:tcBorders>
            <w:vAlign w:val="center"/>
          </w:tcPr>
          <w:p w14:paraId="6BD526F3">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13645134455</w:t>
            </w:r>
          </w:p>
        </w:tc>
      </w:tr>
      <w:tr w14:paraId="71C65789">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7821AE0F">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23</w:t>
            </w:r>
          </w:p>
        </w:tc>
        <w:tc>
          <w:tcPr>
            <w:tcW w:w="2889" w:type="dxa"/>
            <w:tcBorders>
              <w:top w:val="single" w:color="000000" w:sz="8" w:space="0"/>
              <w:left w:val="single" w:color="000000" w:sz="8" w:space="0"/>
              <w:bottom w:val="single" w:color="000000" w:sz="8" w:space="0"/>
              <w:right w:val="single" w:color="000000" w:sz="8" w:space="0"/>
            </w:tcBorders>
            <w:vAlign w:val="center"/>
          </w:tcPr>
          <w:p w14:paraId="5B2DA1DD">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市自然资源局开发区分局</w:t>
            </w:r>
          </w:p>
        </w:tc>
        <w:tc>
          <w:tcPr>
            <w:tcW w:w="1330" w:type="dxa"/>
            <w:tcBorders>
              <w:top w:val="single" w:color="000000" w:sz="8" w:space="0"/>
              <w:left w:val="single" w:color="000000" w:sz="8" w:space="0"/>
              <w:bottom w:val="single" w:color="000000" w:sz="8" w:space="0"/>
              <w:right w:val="single" w:color="000000" w:sz="8" w:space="0"/>
            </w:tcBorders>
            <w:vAlign w:val="center"/>
          </w:tcPr>
          <w:p w14:paraId="1E2111CA">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孙召明</w:t>
            </w:r>
          </w:p>
        </w:tc>
        <w:tc>
          <w:tcPr>
            <w:tcW w:w="1853" w:type="dxa"/>
            <w:tcBorders>
              <w:top w:val="single" w:color="000000" w:sz="8" w:space="0"/>
              <w:left w:val="single" w:color="000000" w:sz="8" w:space="0"/>
              <w:bottom w:val="single" w:color="000000" w:sz="8" w:space="0"/>
              <w:right w:val="single" w:color="000000" w:sz="8" w:space="0"/>
            </w:tcBorders>
            <w:vAlign w:val="center"/>
          </w:tcPr>
          <w:p w14:paraId="5679FCB9">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14:paraId="1FB14139">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13705122066</w:t>
            </w:r>
          </w:p>
        </w:tc>
      </w:tr>
      <w:tr w14:paraId="39BE9D01">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6B96EBF5">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24</w:t>
            </w:r>
          </w:p>
        </w:tc>
        <w:tc>
          <w:tcPr>
            <w:tcW w:w="2889" w:type="dxa"/>
            <w:tcBorders>
              <w:top w:val="single" w:color="000000" w:sz="8" w:space="0"/>
              <w:left w:val="single" w:color="000000" w:sz="8" w:space="0"/>
              <w:bottom w:val="single" w:color="000000" w:sz="8" w:space="0"/>
              <w:right w:val="single" w:color="000000" w:sz="8" w:space="0"/>
            </w:tcBorders>
            <w:vAlign w:val="center"/>
          </w:tcPr>
          <w:p w14:paraId="3103D12B">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区公安分局</w:t>
            </w:r>
          </w:p>
        </w:tc>
        <w:tc>
          <w:tcPr>
            <w:tcW w:w="1330" w:type="dxa"/>
            <w:tcBorders>
              <w:top w:val="single" w:color="000000" w:sz="8" w:space="0"/>
              <w:left w:val="single" w:color="000000" w:sz="8" w:space="0"/>
              <w:bottom w:val="single" w:color="000000" w:sz="8" w:space="0"/>
              <w:right w:val="single" w:color="000000" w:sz="8" w:space="0"/>
            </w:tcBorders>
            <w:vAlign w:val="center"/>
          </w:tcPr>
          <w:p w14:paraId="6870352C">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雷  斌</w:t>
            </w:r>
          </w:p>
        </w:tc>
        <w:tc>
          <w:tcPr>
            <w:tcW w:w="1853" w:type="dxa"/>
            <w:tcBorders>
              <w:top w:val="single" w:color="000000" w:sz="8" w:space="0"/>
              <w:left w:val="single" w:color="000000" w:sz="8" w:space="0"/>
              <w:bottom w:val="single" w:color="000000" w:sz="8" w:space="0"/>
              <w:right w:val="single" w:color="000000" w:sz="8" w:space="0"/>
            </w:tcBorders>
            <w:vAlign w:val="center"/>
          </w:tcPr>
          <w:p w14:paraId="20A528EA">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14:paraId="313C8566">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15861236678</w:t>
            </w:r>
          </w:p>
        </w:tc>
      </w:tr>
      <w:tr w14:paraId="1541FB38">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2509179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25</w:t>
            </w:r>
          </w:p>
        </w:tc>
        <w:tc>
          <w:tcPr>
            <w:tcW w:w="2889" w:type="dxa"/>
            <w:tcBorders>
              <w:top w:val="single" w:color="000000" w:sz="8" w:space="0"/>
              <w:left w:val="single" w:color="000000" w:sz="8" w:space="0"/>
              <w:bottom w:val="single" w:color="000000" w:sz="8" w:space="0"/>
              <w:right w:val="single" w:color="000000" w:sz="8" w:space="0"/>
            </w:tcBorders>
            <w:vAlign w:val="center"/>
          </w:tcPr>
          <w:p w14:paraId="63FD9FCC">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区交警大队</w:t>
            </w:r>
          </w:p>
        </w:tc>
        <w:tc>
          <w:tcPr>
            <w:tcW w:w="1330" w:type="dxa"/>
            <w:tcBorders>
              <w:top w:val="single" w:color="000000" w:sz="8" w:space="0"/>
              <w:left w:val="single" w:color="000000" w:sz="8" w:space="0"/>
              <w:bottom w:val="single" w:color="000000" w:sz="8" w:space="0"/>
              <w:right w:val="single" w:color="000000" w:sz="8" w:space="0"/>
            </w:tcBorders>
            <w:vAlign w:val="center"/>
          </w:tcPr>
          <w:p w14:paraId="25D7C573">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杨中来</w:t>
            </w:r>
          </w:p>
        </w:tc>
        <w:tc>
          <w:tcPr>
            <w:tcW w:w="1853" w:type="dxa"/>
            <w:tcBorders>
              <w:top w:val="single" w:color="000000" w:sz="8" w:space="0"/>
              <w:left w:val="single" w:color="000000" w:sz="8" w:space="0"/>
              <w:bottom w:val="single" w:color="000000" w:sz="8" w:space="0"/>
              <w:right w:val="single" w:color="000000" w:sz="8" w:space="0"/>
            </w:tcBorders>
            <w:vAlign w:val="center"/>
          </w:tcPr>
          <w:p w14:paraId="4055FF33">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大队长</w:t>
            </w:r>
          </w:p>
        </w:tc>
        <w:tc>
          <w:tcPr>
            <w:tcW w:w="1747" w:type="dxa"/>
            <w:tcBorders>
              <w:top w:val="single" w:color="000000" w:sz="8" w:space="0"/>
              <w:left w:val="single" w:color="000000" w:sz="8" w:space="0"/>
              <w:bottom w:val="single" w:color="000000" w:sz="8" w:space="0"/>
              <w:right w:val="single" w:color="000000" w:sz="8" w:space="0"/>
            </w:tcBorders>
            <w:vAlign w:val="center"/>
          </w:tcPr>
          <w:p w14:paraId="3F58D29D">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15861237089</w:t>
            </w:r>
          </w:p>
        </w:tc>
      </w:tr>
      <w:tr w14:paraId="4AE87D67">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28415F92">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26</w:t>
            </w:r>
          </w:p>
        </w:tc>
        <w:tc>
          <w:tcPr>
            <w:tcW w:w="2889" w:type="dxa"/>
            <w:tcBorders>
              <w:top w:val="single" w:color="000000" w:sz="8" w:space="0"/>
              <w:left w:val="single" w:color="000000" w:sz="8" w:space="0"/>
              <w:bottom w:val="single" w:color="000000" w:sz="8" w:space="0"/>
              <w:right w:val="single" w:color="000000" w:sz="8" w:space="0"/>
            </w:tcBorders>
            <w:vAlign w:val="center"/>
          </w:tcPr>
          <w:p w14:paraId="5C028C12">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区消防救援大队</w:t>
            </w:r>
          </w:p>
        </w:tc>
        <w:tc>
          <w:tcPr>
            <w:tcW w:w="1330" w:type="dxa"/>
            <w:tcBorders>
              <w:top w:val="single" w:color="000000" w:sz="8" w:space="0"/>
              <w:left w:val="single" w:color="000000" w:sz="8" w:space="0"/>
              <w:bottom w:val="single" w:color="000000" w:sz="8" w:space="0"/>
              <w:right w:val="single" w:color="000000" w:sz="8" w:space="0"/>
            </w:tcBorders>
            <w:vAlign w:val="center"/>
          </w:tcPr>
          <w:p w14:paraId="4C4B825D">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王华成</w:t>
            </w:r>
          </w:p>
        </w:tc>
        <w:tc>
          <w:tcPr>
            <w:tcW w:w="1853" w:type="dxa"/>
            <w:tcBorders>
              <w:top w:val="single" w:color="000000" w:sz="8" w:space="0"/>
              <w:left w:val="single" w:color="000000" w:sz="8" w:space="0"/>
              <w:bottom w:val="single" w:color="000000" w:sz="8" w:space="0"/>
              <w:right w:val="single" w:color="000000" w:sz="8" w:space="0"/>
            </w:tcBorders>
            <w:vAlign w:val="center"/>
          </w:tcPr>
          <w:p w14:paraId="0CF2B59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大队长</w:t>
            </w:r>
          </w:p>
        </w:tc>
        <w:tc>
          <w:tcPr>
            <w:tcW w:w="1747" w:type="dxa"/>
            <w:tcBorders>
              <w:top w:val="single" w:color="000000" w:sz="8" w:space="0"/>
              <w:left w:val="single" w:color="000000" w:sz="8" w:space="0"/>
              <w:bottom w:val="single" w:color="000000" w:sz="8" w:space="0"/>
              <w:right w:val="single" w:color="000000" w:sz="8" w:space="0"/>
            </w:tcBorders>
            <w:vAlign w:val="center"/>
          </w:tcPr>
          <w:p w14:paraId="6753F5D7">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13675209797</w:t>
            </w:r>
          </w:p>
        </w:tc>
      </w:tr>
      <w:tr w14:paraId="75D9EAA8">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2B70942C">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27</w:t>
            </w:r>
          </w:p>
        </w:tc>
        <w:tc>
          <w:tcPr>
            <w:tcW w:w="2889" w:type="dxa"/>
            <w:tcBorders>
              <w:top w:val="single" w:color="000000" w:sz="8" w:space="0"/>
              <w:left w:val="single" w:color="000000" w:sz="8" w:space="0"/>
              <w:bottom w:val="single" w:color="000000" w:sz="8" w:space="0"/>
              <w:right w:val="single" w:color="000000" w:sz="8" w:space="0"/>
            </w:tcBorders>
            <w:vAlign w:val="center"/>
          </w:tcPr>
          <w:p w14:paraId="62B89944">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边防大队</w:t>
            </w:r>
          </w:p>
        </w:tc>
        <w:tc>
          <w:tcPr>
            <w:tcW w:w="1330" w:type="dxa"/>
            <w:tcBorders>
              <w:top w:val="single" w:color="000000" w:sz="8" w:space="0"/>
              <w:left w:val="single" w:color="000000" w:sz="8" w:space="0"/>
              <w:bottom w:val="single" w:color="000000" w:sz="8" w:space="0"/>
              <w:right w:val="single" w:color="000000" w:sz="8" w:space="0"/>
            </w:tcBorders>
            <w:vAlign w:val="center"/>
          </w:tcPr>
          <w:p w14:paraId="0783FB57">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陈建峰</w:t>
            </w:r>
          </w:p>
        </w:tc>
        <w:tc>
          <w:tcPr>
            <w:tcW w:w="1853" w:type="dxa"/>
            <w:tcBorders>
              <w:top w:val="single" w:color="000000" w:sz="8" w:space="0"/>
              <w:left w:val="single" w:color="000000" w:sz="8" w:space="0"/>
              <w:bottom w:val="single" w:color="000000" w:sz="8" w:space="0"/>
              <w:right w:val="single" w:color="000000" w:sz="8" w:space="0"/>
            </w:tcBorders>
            <w:vAlign w:val="center"/>
          </w:tcPr>
          <w:p w14:paraId="6B6B609F">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大队长</w:t>
            </w:r>
          </w:p>
        </w:tc>
        <w:tc>
          <w:tcPr>
            <w:tcW w:w="1747" w:type="dxa"/>
            <w:tcBorders>
              <w:top w:val="single" w:color="000000" w:sz="8" w:space="0"/>
              <w:left w:val="single" w:color="000000" w:sz="8" w:space="0"/>
              <w:bottom w:val="single" w:color="000000" w:sz="8" w:space="0"/>
              <w:right w:val="single" w:color="000000" w:sz="8" w:space="0"/>
            </w:tcBorders>
            <w:vAlign w:val="center"/>
          </w:tcPr>
          <w:p w14:paraId="12751710">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18805133370</w:t>
            </w:r>
          </w:p>
        </w:tc>
      </w:tr>
      <w:tr w14:paraId="19F0E796">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0582C91A">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28</w:t>
            </w:r>
          </w:p>
        </w:tc>
        <w:tc>
          <w:tcPr>
            <w:tcW w:w="2889" w:type="dxa"/>
            <w:tcBorders>
              <w:top w:val="single" w:color="000000" w:sz="8" w:space="0"/>
              <w:left w:val="single" w:color="000000" w:sz="8" w:space="0"/>
              <w:bottom w:val="single" w:color="000000" w:sz="8" w:space="0"/>
              <w:right w:val="single" w:color="000000" w:sz="8" w:space="0"/>
            </w:tcBorders>
            <w:vAlign w:val="center"/>
          </w:tcPr>
          <w:p w14:paraId="55129580">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开发区电信公司</w:t>
            </w:r>
          </w:p>
        </w:tc>
        <w:tc>
          <w:tcPr>
            <w:tcW w:w="1330" w:type="dxa"/>
            <w:tcBorders>
              <w:top w:val="single" w:color="000000" w:sz="8" w:space="0"/>
              <w:left w:val="single" w:color="000000" w:sz="8" w:space="0"/>
              <w:bottom w:val="single" w:color="000000" w:sz="8" w:space="0"/>
              <w:right w:val="single" w:color="000000" w:sz="8" w:space="0"/>
            </w:tcBorders>
            <w:vAlign w:val="center"/>
          </w:tcPr>
          <w:p w14:paraId="6B6EBF9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张  波</w:t>
            </w:r>
          </w:p>
        </w:tc>
        <w:tc>
          <w:tcPr>
            <w:tcW w:w="1853" w:type="dxa"/>
            <w:tcBorders>
              <w:top w:val="single" w:color="000000" w:sz="8" w:space="0"/>
              <w:left w:val="single" w:color="000000" w:sz="8" w:space="0"/>
              <w:bottom w:val="single" w:color="000000" w:sz="8" w:space="0"/>
              <w:right w:val="single" w:color="000000" w:sz="8" w:space="0"/>
            </w:tcBorders>
            <w:vAlign w:val="center"/>
          </w:tcPr>
          <w:p w14:paraId="27E2E45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14:paraId="4E56BA1A">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15305139788</w:t>
            </w:r>
          </w:p>
        </w:tc>
      </w:tr>
      <w:tr w14:paraId="2DF8C418">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206D6E32">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29</w:t>
            </w:r>
          </w:p>
        </w:tc>
        <w:tc>
          <w:tcPr>
            <w:tcW w:w="2889" w:type="dxa"/>
            <w:tcBorders>
              <w:top w:val="single" w:color="000000" w:sz="8" w:space="0"/>
              <w:left w:val="single" w:color="000000" w:sz="8" w:space="0"/>
              <w:bottom w:val="single" w:color="000000" w:sz="8" w:space="0"/>
              <w:right w:val="single" w:color="000000" w:sz="8" w:space="0"/>
            </w:tcBorders>
            <w:vAlign w:val="center"/>
          </w:tcPr>
          <w:p w14:paraId="350E752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移动连云公司</w:t>
            </w:r>
          </w:p>
        </w:tc>
        <w:tc>
          <w:tcPr>
            <w:tcW w:w="1330" w:type="dxa"/>
            <w:tcBorders>
              <w:top w:val="single" w:color="000000" w:sz="8" w:space="0"/>
              <w:left w:val="single" w:color="000000" w:sz="8" w:space="0"/>
              <w:bottom w:val="single" w:color="000000" w:sz="8" w:space="0"/>
              <w:right w:val="single" w:color="000000" w:sz="8" w:space="0"/>
            </w:tcBorders>
            <w:vAlign w:val="center"/>
          </w:tcPr>
          <w:p w14:paraId="1812A6BA">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唐崇华</w:t>
            </w:r>
          </w:p>
        </w:tc>
        <w:tc>
          <w:tcPr>
            <w:tcW w:w="1853" w:type="dxa"/>
            <w:tcBorders>
              <w:top w:val="single" w:color="000000" w:sz="8" w:space="0"/>
              <w:left w:val="single" w:color="000000" w:sz="8" w:space="0"/>
              <w:bottom w:val="single" w:color="000000" w:sz="8" w:space="0"/>
              <w:right w:val="single" w:color="000000" w:sz="8" w:space="0"/>
            </w:tcBorders>
            <w:vAlign w:val="center"/>
          </w:tcPr>
          <w:p w14:paraId="7896D9DD">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总经理</w:t>
            </w:r>
          </w:p>
        </w:tc>
        <w:tc>
          <w:tcPr>
            <w:tcW w:w="1747" w:type="dxa"/>
            <w:tcBorders>
              <w:top w:val="single" w:color="000000" w:sz="8" w:space="0"/>
              <w:left w:val="single" w:color="000000" w:sz="8" w:space="0"/>
              <w:bottom w:val="single" w:color="000000" w:sz="8" w:space="0"/>
              <w:right w:val="single" w:color="000000" w:sz="8" w:space="0"/>
            </w:tcBorders>
            <w:vAlign w:val="center"/>
          </w:tcPr>
          <w:p w14:paraId="65E66821">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13905139339</w:t>
            </w:r>
          </w:p>
        </w:tc>
      </w:tr>
      <w:tr w14:paraId="05C6B9F0">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7215CC0A">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30</w:t>
            </w:r>
          </w:p>
        </w:tc>
        <w:tc>
          <w:tcPr>
            <w:tcW w:w="2889" w:type="dxa"/>
            <w:tcBorders>
              <w:top w:val="single" w:color="000000" w:sz="8" w:space="0"/>
              <w:left w:val="single" w:color="000000" w:sz="8" w:space="0"/>
              <w:bottom w:val="single" w:color="000000" w:sz="8" w:space="0"/>
              <w:right w:val="single" w:color="000000" w:sz="8" w:space="0"/>
            </w:tcBorders>
            <w:vAlign w:val="center"/>
          </w:tcPr>
          <w:p w14:paraId="68F985CF">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供电公司</w:t>
            </w:r>
          </w:p>
        </w:tc>
        <w:tc>
          <w:tcPr>
            <w:tcW w:w="1330" w:type="dxa"/>
            <w:tcBorders>
              <w:top w:val="single" w:color="000000" w:sz="8" w:space="0"/>
              <w:left w:val="single" w:color="000000" w:sz="8" w:space="0"/>
              <w:bottom w:val="single" w:color="000000" w:sz="8" w:space="0"/>
              <w:right w:val="single" w:color="000000" w:sz="8" w:space="0"/>
            </w:tcBorders>
            <w:vAlign w:val="center"/>
          </w:tcPr>
          <w:p w14:paraId="1F75EB9C">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孟  军</w:t>
            </w:r>
          </w:p>
        </w:tc>
        <w:tc>
          <w:tcPr>
            <w:tcW w:w="1853" w:type="dxa"/>
            <w:tcBorders>
              <w:top w:val="single" w:color="000000" w:sz="8" w:space="0"/>
              <w:left w:val="single" w:color="000000" w:sz="8" w:space="0"/>
              <w:bottom w:val="single" w:color="000000" w:sz="8" w:space="0"/>
              <w:right w:val="single" w:color="000000" w:sz="8" w:space="0"/>
            </w:tcBorders>
            <w:vAlign w:val="center"/>
          </w:tcPr>
          <w:p w14:paraId="31FB9163">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主任</w:t>
            </w:r>
          </w:p>
        </w:tc>
        <w:tc>
          <w:tcPr>
            <w:tcW w:w="1747" w:type="dxa"/>
            <w:tcBorders>
              <w:top w:val="single" w:color="000000" w:sz="8" w:space="0"/>
              <w:left w:val="single" w:color="000000" w:sz="8" w:space="0"/>
              <w:bottom w:val="single" w:color="000000" w:sz="8" w:space="0"/>
              <w:right w:val="single" w:color="000000" w:sz="8" w:space="0"/>
            </w:tcBorders>
            <w:vAlign w:val="center"/>
          </w:tcPr>
          <w:p w14:paraId="49A8F29E">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13961391266</w:t>
            </w:r>
          </w:p>
        </w:tc>
      </w:tr>
      <w:tr w14:paraId="6E105DC0">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2F01DB9F">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31</w:t>
            </w:r>
          </w:p>
        </w:tc>
        <w:tc>
          <w:tcPr>
            <w:tcW w:w="2889" w:type="dxa"/>
            <w:tcBorders>
              <w:top w:val="single" w:color="000000" w:sz="8" w:space="0"/>
              <w:left w:val="single" w:color="000000" w:sz="8" w:space="0"/>
              <w:bottom w:val="single" w:color="000000" w:sz="8" w:space="0"/>
              <w:right w:val="single" w:color="000000" w:sz="8" w:space="0"/>
            </w:tcBorders>
            <w:vAlign w:val="center"/>
          </w:tcPr>
          <w:p w14:paraId="553D0679">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连云港市自来水公司</w:t>
            </w:r>
          </w:p>
        </w:tc>
        <w:tc>
          <w:tcPr>
            <w:tcW w:w="1330" w:type="dxa"/>
            <w:tcBorders>
              <w:top w:val="single" w:color="000000" w:sz="8" w:space="0"/>
              <w:left w:val="single" w:color="000000" w:sz="8" w:space="0"/>
              <w:bottom w:val="single" w:color="000000" w:sz="8" w:space="0"/>
              <w:right w:val="single" w:color="000000" w:sz="8" w:space="0"/>
            </w:tcBorders>
            <w:vAlign w:val="center"/>
          </w:tcPr>
          <w:p w14:paraId="3D8CE60D">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侯洪峰</w:t>
            </w:r>
          </w:p>
        </w:tc>
        <w:tc>
          <w:tcPr>
            <w:tcW w:w="1853" w:type="dxa"/>
            <w:tcBorders>
              <w:top w:val="single" w:color="000000" w:sz="8" w:space="0"/>
              <w:left w:val="single" w:color="000000" w:sz="8" w:space="0"/>
              <w:bottom w:val="single" w:color="000000" w:sz="8" w:space="0"/>
              <w:right w:val="single" w:color="000000" w:sz="8" w:space="0"/>
            </w:tcBorders>
            <w:vAlign w:val="center"/>
          </w:tcPr>
          <w:p w14:paraId="5641CC64">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总经理</w:t>
            </w:r>
          </w:p>
        </w:tc>
        <w:tc>
          <w:tcPr>
            <w:tcW w:w="1747" w:type="dxa"/>
            <w:tcBorders>
              <w:top w:val="single" w:color="000000" w:sz="8" w:space="0"/>
              <w:left w:val="single" w:color="000000" w:sz="8" w:space="0"/>
              <w:bottom w:val="single" w:color="000000" w:sz="8" w:space="0"/>
              <w:right w:val="single" w:color="000000" w:sz="8" w:space="0"/>
            </w:tcBorders>
            <w:vAlign w:val="center"/>
          </w:tcPr>
          <w:p w14:paraId="37CFC9A3">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85870000</w:t>
            </w:r>
          </w:p>
        </w:tc>
      </w:tr>
      <w:tr w14:paraId="2712AB5C">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4190BEB5">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32</w:t>
            </w:r>
          </w:p>
        </w:tc>
        <w:tc>
          <w:tcPr>
            <w:tcW w:w="2889" w:type="dxa"/>
            <w:tcBorders>
              <w:top w:val="single" w:color="000000" w:sz="8" w:space="0"/>
              <w:left w:val="single" w:color="000000" w:sz="8" w:space="0"/>
              <w:bottom w:val="single" w:color="000000" w:sz="8" w:space="0"/>
              <w:right w:val="single" w:color="000000" w:sz="8" w:space="0"/>
            </w:tcBorders>
            <w:vAlign w:val="center"/>
          </w:tcPr>
          <w:p w14:paraId="4209B269">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连云港新奥燃气有限公司</w:t>
            </w:r>
          </w:p>
        </w:tc>
        <w:tc>
          <w:tcPr>
            <w:tcW w:w="1330" w:type="dxa"/>
            <w:tcBorders>
              <w:top w:val="single" w:color="000000" w:sz="8" w:space="0"/>
              <w:left w:val="single" w:color="000000" w:sz="8" w:space="0"/>
              <w:bottom w:val="single" w:color="000000" w:sz="8" w:space="0"/>
              <w:right w:val="single" w:color="000000" w:sz="8" w:space="0"/>
            </w:tcBorders>
            <w:vAlign w:val="center"/>
          </w:tcPr>
          <w:p w14:paraId="72964BC7">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王  颖</w:t>
            </w:r>
          </w:p>
        </w:tc>
        <w:tc>
          <w:tcPr>
            <w:tcW w:w="1853" w:type="dxa"/>
            <w:tcBorders>
              <w:top w:val="single" w:color="000000" w:sz="8" w:space="0"/>
              <w:left w:val="single" w:color="000000" w:sz="8" w:space="0"/>
              <w:bottom w:val="single" w:color="000000" w:sz="8" w:space="0"/>
              <w:right w:val="single" w:color="000000" w:sz="8" w:space="0"/>
            </w:tcBorders>
            <w:vAlign w:val="center"/>
          </w:tcPr>
          <w:p w14:paraId="147EC707">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总经理</w:t>
            </w:r>
          </w:p>
        </w:tc>
        <w:tc>
          <w:tcPr>
            <w:tcW w:w="1747" w:type="dxa"/>
            <w:tcBorders>
              <w:top w:val="single" w:color="000000" w:sz="8" w:space="0"/>
              <w:left w:val="single" w:color="000000" w:sz="8" w:space="0"/>
              <w:bottom w:val="single" w:color="000000" w:sz="8" w:space="0"/>
              <w:right w:val="single" w:color="000000" w:sz="8" w:space="0"/>
            </w:tcBorders>
            <w:vAlign w:val="center"/>
          </w:tcPr>
          <w:p w14:paraId="1A5BD292">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85157062</w:t>
            </w:r>
          </w:p>
        </w:tc>
      </w:tr>
      <w:tr w14:paraId="21996152">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14:paraId="108BF497">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33</w:t>
            </w:r>
          </w:p>
        </w:tc>
        <w:tc>
          <w:tcPr>
            <w:tcW w:w="2889" w:type="dxa"/>
            <w:tcBorders>
              <w:top w:val="single" w:color="000000" w:sz="8" w:space="0"/>
              <w:left w:val="single" w:color="000000" w:sz="8" w:space="0"/>
              <w:bottom w:val="single" w:color="000000" w:sz="8" w:space="0"/>
              <w:right w:val="single" w:color="000000" w:sz="8" w:space="0"/>
            </w:tcBorders>
            <w:vAlign w:val="center"/>
          </w:tcPr>
          <w:p w14:paraId="7C5B0818">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工投集团台北公司</w:t>
            </w:r>
          </w:p>
        </w:tc>
        <w:tc>
          <w:tcPr>
            <w:tcW w:w="1330" w:type="dxa"/>
            <w:tcBorders>
              <w:top w:val="single" w:color="000000" w:sz="8" w:space="0"/>
              <w:left w:val="single" w:color="000000" w:sz="8" w:space="0"/>
              <w:bottom w:val="single" w:color="000000" w:sz="8" w:space="0"/>
              <w:right w:val="single" w:color="000000" w:sz="8" w:space="0"/>
            </w:tcBorders>
            <w:vAlign w:val="center"/>
          </w:tcPr>
          <w:p w14:paraId="57C92DA9">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王德志</w:t>
            </w:r>
          </w:p>
        </w:tc>
        <w:tc>
          <w:tcPr>
            <w:tcW w:w="1853" w:type="dxa"/>
            <w:tcBorders>
              <w:top w:val="single" w:color="000000" w:sz="8" w:space="0"/>
              <w:left w:val="single" w:color="000000" w:sz="8" w:space="0"/>
              <w:bottom w:val="single" w:color="000000" w:sz="8" w:space="0"/>
              <w:right w:val="single" w:color="000000" w:sz="8" w:space="0"/>
            </w:tcBorders>
            <w:vAlign w:val="center"/>
          </w:tcPr>
          <w:p w14:paraId="61A349BE">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董事长</w:t>
            </w:r>
          </w:p>
        </w:tc>
        <w:tc>
          <w:tcPr>
            <w:tcW w:w="1747" w:type="dxa"/>
            <w:tcBorders>
              <w:top w:val="single" w:color="000000" w:sz="8" w:space="0"/>
              <w:left w:val="single" w:color="000000" w:sz="8" w:space="0"/>
              <w:bottom w:val="single" w:color="000000" w:sz="8" w:space="0"/>
              <w:right w:val="single" w:color="000000" w:sz="8" w:space="0"/>
            </w:tcBorders>
            <w:vAlign w:val="center"/>
          </w:tcPr>
          <w:p w14:paraId="48CE0BB0">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85030239</w:t>
            </w:r>
          </w:p>
        </w:tc>
      </w:tr>
    </w:tbl>
    <w:p w14:paraId="5F0C3439">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3.1.2  开发区抗震救灾指挥部主要职责</w:t>
      </w:r>
    </w:p>
    <w:p w14:paraId="192AAE78">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统一组织指挥和协调辖区内地震应急工作；发生地震灾害时，启动地震应急响应，迅速了解震情和灾情，分析判断地震趋势，确定应急工作方案；部署和组织区有关部门、单位进行抢险救灾；派遣区地震灾害紧急救援队；统一安排调用救灾物资、设备和人员；必要时提出采取紧急应急措施的建议；及时将震情、灾情向市政府汇报，并传达落实上级抗震救灾指示；请求市抗震救灾指挥部指导，请求派遣市地震灾害紧急救援队，协调有关部门进行支援；承担其他有关地震应急和救灾的重大事项。</w:t>
      </w:r>
    </w:p>
    <w:p w14:paraId="3835A900">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3.1.3 开发区抗震救灾指挥部办公室主要职责</w:t>
      </w:r>
    </w:p>
    <w:p w14:paraId="4876F599">
      <w:pPr>
        <w:autoSpaceDE w:val="0"/>
        <w:autoSpaceDN w:val="0"/>
        <w:adjustRightInd w:val="0"/>
        <w:spacing w:line="56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协调全区地震应急救援工作；汇集上报震情、灾情和抗震救灾进展情况；贯彻上级的指示和部署；开展抗震救灾宣传活动；起草区抗震救灾指挥部文件、简报，负责各类文书资料的准备和整理归档；承担区抗震救灾指挥部日常事务和交办的其他事项。</w:t>
      </w:r>
    </w:p>
    <w:p w14:paraId="30571914">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3.1.4  开发区抗震救灾指挥部工作组组成及其主要职责</w:t>
      </w:r>
    </w:p>
    <w:p w14:paraId="6387EFB1">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开发区抗震救灾指挥部根据需要设立相关的工作组。</w:t>
      </w:r>
    </w:p>
    <w:p w14:paraId="3DFF9B51">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bCs/>
          <w:kern w:val="0"/>
          <w:sz w:val="32"/>
          <w:szCs w:val="32"/>
        </w:rPr>
        <w:t>抢险救援组</w:t>
      </w:r>
      <w:r>
        <w:rPr>
          <w:rFonts w:ascii="Times New Roman" w:hAnsi="Times New Roman" w:eastAsia="仿宋_GB2312"/>
          <w:kern w:val="0"/>
          <w:sz w:val="32"/>
          <w:szCs w:val="32"/>
        </w:rPr>
        <w:t>：由开发区应急管理局、住建局、公安分局、消防大队及各街道民兵组织等组成。</w:t>
      </w:r>
    </w:p>
    <w:p w14:paraId="4CA5E96A">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根据指挥部命令，制定实施抢险救灾力量配置方案，调配救援队伍和装备，搜救被困群众和受伤人员；组织接收救援人员和物资，清理灾区现场。</w:t>
      </w:r>
    </w:p>
    <w:p w14:paraId="73624CD0">
      <w:pPr>
        <w:autoSpaceDE w:val="0"/>
        <w:autoSpaceDN w:val="0"/>
        <w:adjustRightInd w:val="0"/>
        <w:spacing w:line="560" w:lineRule="exact"/>
        <w:ind w:firstLine="640" w:firstLineChars="200"/>
        <w:rPr>
          <w:rFonts w:ascii="Times New Roman" w:hAnsi="Times New Roman" w:eastAsia="仿宋_GB2312"/>
          <w:bCs/>
          <w:kern w:val="0"/>
          <w:sz w:val="32"/>
          <w:szCs w:val="32"/>
        </w:rPr>
      </w:pPr>
      <w:r>
        <w:rPr>
          <w:rFonts w:ascii="Times New Roman" w:hAnsi="Times New Roman" w:eastAsia="仿宋_GB2312"/>
          <w:kern w:val="0"/>
          <w:sz w:val="32"/>
          <w:szCs w:val="32"/>
        </w:rPr>
        <w:t>通信保障组：</w:t>
      </w:r>
      <w:r>
        <w:rPr>
          <w:rFonts w:ascii="Times New Roman" w:hAnsi="Times New Roman" w:eastAsia="仿宋_GB2312"/>
          <w:bCs/>
          <w:kern w:val="0"/>
          <w:sz w:val="32"/>
          <w:szCs w:val="32"/>
        </w:rPr>
        <w:t>由电信公司、移动公司、铁塔公司等组成。</w:t>
      </w:r>
    </w:p>
    <w:p w14:paraId="0C94D900">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出动应急通信保障队伍，组织协调各基础电信运营企业、铁塔公司，尽快修复被损毁的通信设施，优先保障抗震救灾指挥应急通信畅通。</w:t>
      </w:r>
    </w:p>
    <w:p w14:paraId="413D51A0">
      <w:pPr>
        <w:autoSpaceDE w:val="0"/>
        <w:autoSpaceDN w:val="0"/>
        <w:adjustRightInd w:val="0"/>
        <w:spacing w:line="560" w:lineRule="exact"/>
        <w:ind w:firstLine="640" w:firstLineChars="200"/>
        <w:rPr>
          <w:rFonts w:ascii="Times New Roman" w:hAnsi="Times New Roman" w:eastAsia="仿宋_GB2312"/>
          <w:bCs/>
          <w:kern w:val="0"/>
          <w:sz w:val="32"/>
          <w:szCs w:val="32"/>
        </w:rPr>
      </w:pPr>
      <w:r>
        <w:rPr>
          <w:rFonts w:ascii="Times New Roman" w:hAnsi="Times New Roman" w:eastAsia="仿宋_GB2312"/>
          <w:kern w:val="0"/>
          <w:sz w:val="32"/>
          <w:szCs w:val="32"/>
        </w:rPr>
        <w:t>群众生活保障组：由开发区经发局、住建局、社会事业局、财政局、新海连集团、各街道等组成。</w:t>
      </w:r>
    </w:p>
    <w:p w14:paraId="38D84217">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指挥部命令，实施受灾群众（包括在连外国人）救助工作以及相应的资金物资保障措施，组织调集、转运帐篷和灾区生活必需品等抗震救灾物资，指导有关地区做好受灾群众的紧急转移和安置工作，组织转移和安置遭受破坏学校的学生，组织进行灾区房屋建筑安全鉴定，支援灾区保障群众基本生活和市场供应，负责抗震救灾款物的监管。</w:t>
      </w:r>
    </w:p>
    <w:p w14:paraId="77D2F49D">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医疗救治和卫生防疫组：由开发区社会事业局、各街道社区医疗机构等组成。</w:t>
      </w:r>
    </w:p>
    <w:p w14:paraId="7EACC64F">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对接市医疗卫生救援队伍，组织医疗卫生救援队伍，调集医疗器械、药品等物资，对伤病员进行救治、心理干预和转移；对灾区水源进行监测消毒，加强食品和饮用水卫生监督；做好重大传染病和突发公共卫生事件预防控制工作；恢复灾区医疗卫生服务能力和秩序。</w:t>
      </w:r>
    </w:p>
    <w:p w14:paraId="6EA57241">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基础设施保障和生产恢复组：由开发区经发局、应急管理局、财政局、住建局、社会事业局、各街道等组成。</w:t>
      </w:r>
    </w:p>
    <w:p w14:paraId="7DE134A0">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协助市抗震救灾指挥部抢修维护铁路、公路等交通设施和供电、供水、燃气、防洪、通信、广播电视等设施；协助市抗震救灾指挥部组织生产、调运抢险救援产品，调运生产物资和装备，保障灾区抢险应急物资供应；协调运力优先保证应急抢险救援人员和救灾物资的运输需要；对受灾的商贸和农业损毁情况进行核实，组织安排落实有关扶持资金和物资。</w:t>
      </w:r>
    </w:p>
    <w:p w14:paraId="14FEDE98">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次生灾害防范处置组：由开发区应急管理局、社会事业局、住建局、市自然资源局开发区分局、市生态环境局开发区分局、公安局、消防大队等有关部门组成。</w:t>
      </w:r>
    </w:p>
    <w:p w14:paraId="2BBD7586">
      <w:pPr>
        <w:autoSpaceDE w:val="0"/>
        <w:autoSpaceDN w:val="0"/>
        <w:adjustRightInd w:val="0"/>
        <w:spacing w:line="560" w:lineRule="exact"/>
        <w:ind w:firstLine="640" w:firstLineChars="200"/>
        <w:rPr>
          <w:rFonts w:ascii="Times New Roman" w:hAnsi="Times New Roman" w:eastAsia="仿宋_GB2312"/>
          <w:kern w:val="0"/>
          <w:sz w:val="32"/>
          <w:szCs w:val="32"/>
        </w:rPr>
      </w:pPr>
      <w:bookmarkStart w:id="0" w:name="_Hlk54344011"/>
      <w:r>
        <w:rPr>
          <w:rFonts w:ascii="Times New Roman" w:hAnsi="Times New Roman" w:eastAsia="仿宋_GB2312"/>
          <w:kern w:val="0"/>
          <w:sz w:val="32"/>
          <w:szCs w:val="32"/>
        </w:rPr>
        <w:t>协助市抗震救灾指挥部</w:t>
      </w:r>
      <w:bookmarkEnd w:id="0"/>
      <w:r>
        <w:rPr>
          <w:rFonts w:ascii="Times New Roman" w:hAnsi="Times New Roman" w:eastAsia="仿宋_GB2312"/>
          <w:kern w:val="0"/>
          <w:sz w:val="32"/>
          <w:szCs w:val="32"/>
        </w:rPr>
        <w:t>及时组织扑救火灾，处置危化品泄漏事故，做好灾区防火以及灾区安全生产隐患和环境风险排查、防范工作；对重大地质灾害隐患进行监测预警，一旦发生山体崩塌、滑坡、泥石流、堰塞湖、地面塌陷等险情，及时组织疏散群众；加强河流、水库水质监测和危险化学品等污染物防控，保障灾区水库安全和饮用水源安全。对易于发生次生灾害的重大危险源、重要目标物、重大关键基础设施，采取紧急处置措施并加强监控；加强灾区环境监测，减轻或消除环境污染危害</w:t>
      </w:r>
    </w:p>
    <w:p w14:paraId="253B3DEF">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社会治安组：由开发区公安分局、交警大队、住建局等组成。</w:t>
      </w:r>
    </w:p>
    <w:p w14:paraId="1AE8E504">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调集足够警力对政府机关、要害部门、金融单位、储备仓库、救济物品集散点等重要目标警戒；负责维护灾区的治安，严防各种破坏活动；协助市抗震救灾指挥部实行交通管制，发放通行证，设置检查站；做好辅助性的应急通讯。</w:t>
      </w:r>
    </w:p>
    <w:p w14:paraId="2F2754E4">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地震灾害调查及灾情损失统计组：由开发区应急管理局、经发局、财政局、住建局、市自然资源局开发区分局等有关部门组成。</w:t>
      </w:r>
    </w:p>
    <w:p w14:paraId="56B8D0AD">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协助市抗震救灾指挥部开展地震烈度、发震构造、灾区范围、建（构）筑物和基础设施破坏程度、工程结构震害特征、人员伤亡数量、地震宏观异常现象、地震社会影响和地质灾害等调查，对地震灾害损失进行统计。</w:t>
      </w:r>
    </w:p>
    <w:p w14:paraId="150C1BD9">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信息发布及宣传报道组：由开发区党政办、组宣部等组成</w:t>
      </w:r>
    </w:p>
    <w:p w14:paraId="0EB46F74">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根据市抗震救灾指挥部统一部署，及时准确发布灾情；加强舆情收集，正确引导市内外舆论；配合市抗震救灾指挥部组织安排新闻媒体进行采访报道。</w:t>
      </w:r>
    </w:p>
    <w:p w14:paraId="7E6002E5">
      <w:pPr>
        <w:autoSpaceDE w:val="0"/>
        <w:autoSpaceDN w:val="0"/>
        <w:adjustRightInd w:val="0"/>
        <w:spacing w:line="57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3.2  开发区抗震救灾现场指挥部组成及其主要职责</w:t>
      </w:r>
    </w:p>
    <w:p w14:paraId="6701B5EC">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抗震救灾指挥部是开发区管委会设立的本地区抗震救灾工作组织领导机构，在上级抗震救灾指挥部和开发区管委会领导下，负责本辖区内较大和一般地震灾害的应急处置工作；按照市抗震救灾指挥部的部署，做好特别重大或重大地震灾害的先期应急处置工作；负责善后和灾后重建等工作。</w:t>
      </w:r>
    </w:p>
    <w:p w14:paraId="3B3CFB2E">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发生较大或一般地震灾害后，由区抗震救灾指挥部根据灾情需要，在地震灾区成立现场指挥机构，靠前指挥、协调、督导抗震救灾工作。</w:t>
      </w:r>
    </w:p>
    <w:p w14:paraId="52070205">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主要职责：分析、判断地震灾害趋势，确定并实施现场应急处置方案；部署和组织指挥现场紧急救援工作；调动和调配各类应急资源，做好现场应急保障工作；及时汇报震情、灾情，传达落实上级抗震救灾指示；接待新闻单位来访，开展安定民心、稳定社会的宣传教育工作。</w:t>
      </w:r>
    </w:p>
    <w:p w14:paraId="4D93E54D">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现场指挥部根据抗震救灾工作需要，设立若干工作小组，分别负责震情监测预报、灾情评估、抢险修复、物资供应、灾民安置、通讯保障、安全保卫、医疗救护和卫生防疫、宣传报道等方面的工作。</w:t>
      </w:r>
    </w:p>
    <w:p w14:paraId="3862F8D5">
      <w:pPr>
        <w:autoSpaceDE w:val="0"/>
        <w:autoSpaceDN w:val="0"/>
        <w:snapToGrid w:val="0"/>
        <w:spacing w:line="570" w:lineRule="exact"/>
        <w:ind w:firstLine="640" w:firstLineChars="200"/>
        <w:rPr>
          <w:rFonts w:ascii="Times New Roman" w:hAnsi="Times New Roman" w:eastAsia="黑体"/>
          <w:snapToGrid w:val="0"/>
          <w:sz w:val="32"/>
          <w:szCs w:val="32"/>
        </w:rPr>
      </w:pPr>
      <w:r>
        <w:rPr>
          <w:rFonts w:ascii="Times New Roman" w:hAnsi="Times New Roman" w:eastAsia="黑体"/>
          <w:snapToGrid w:val="0"/>
          <w:sz w:val="32"/>
          <w:szCs w:val="32"/>
        </w:rPr>
        <w:t>4  监测报告与预报预防</w:t>
      </w:r>
    </w:p>
    <w:p w14:paraId="5B2351DD">
      <w:pPr>
        <w:autoSpaceDE w:val="0"/>
        <w:autoSpaceDN w:val="0"/>
        <w:adjustRightInd w:val="0"/>
        <w:spacing w:line="57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4.1  监测预报</w:t>
      </w:r>
    </w:p>
    <w:p w14:paraId="12BFC82A">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开发区住建局负责收集全区各类地震观测数据，上报市住建局并加强群测群防工作。</w:t>
      </w:r>
    </w:p>
    <w:p w14:paraId="3E2C1975">
      <w:pPr>
        <w:autoSpaceDE w:val="0"/>
        <w:autoSpaceDN w:val="0"/>
        <w:adjustRightInd w:val="0"/>
        <w:spacing w:line="57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4.2  预防措施</w:t>
      </w:r>
    </w:p>
    <w:p w14:paraId="5C4AEE09">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开发区管委会组织各方力量，采取相应的预防措施和应急救援准备。</w:t>
      </w:r>
    </w:p>
    <w:p w14:paraId="581C9B58">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（1）加强震情监视以及地震前兆、宏观异常核实，随时报告震情变化。</w:t>
      </w:r>
    </w:p>
    <w:p w14:paraId="37017668">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（2）区防震减灾工作联席会议部署地震灾害预防工作。</w:t>
      </w:r>
    </w:p>
    <w:p w14:paraId="491E8BBB">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（3）检查各街道的地震灾害防御能力，提出有重点地加强各类建（构）筑物特别是重点建设工程的震害防御措施和应急救援准备。</w:t>
      </w:r>
    </w:p>
    <w:p w14:paraId="0D396FB4">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（4）检查、督导各街道的生命线工程设施和可能产生严重次生灾害建筑工程的生产经营单位采取应急防御措施，做好应急抢修抢险与救援准备。</w:t>
      </w:r>
    </w:p>
    <w:p w14:paraId="64865AAE">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（5）各级各类应急与救援队伍进入应急救援待命状态，做好随时开赴地震灾区开展应急救援和抢修抢险的准备。</w:t>
      </w:r>
    </w:p>
    <w:p w14:paraId="68952325">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（6）检查、落实应急救援物资和抗震救灾资金准备情况。</w:t>
      </w:r>
    </w:p>
    <w:p w14:paraId="3AD8699B">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（7）根据市抗震救灾指挥部部署组织群众避震疏散，要求学校临时停课。</w:t>
      </w:r>
    </w:p>
    <w:p w14:paraId="105ADBD3">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（8）适时向社会转发市抗震救灾指挥部预报信息，回答社会公众咨询。</w:t>
      </w:r>
    </w:p>
    <w:p w14:paraId="4BD1A402">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（9）组织开展地震应急避险、自救互救宣传教育活动。</w:t>
      </w:r>
    </w:p>
    <w:p w14:paraId="3E7DC00D">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（10）加强社会舆情收集与上报，平息地震谣传、误传，维护社会安定。</w:t>
      </w:r>
    </w:p>
    <w:p w14:paraId="0B36262D">
      <w:pPr>
        <w:autoSpaceDE w:val="0"/>
        <w:autoSpaceDN w:val="0"/>
        <w:snapToGrid w:val="0"/>
        <w:spacing w:line="570" w:lineRule="exact"/>
        <w:ind w:firstLine="640" w:firstLineChars="200"/>
        <w:rPr>
          <w:rFonts w:ascii="Times New Roman" w:hAnsi="Times New Roman" w:eastAsia="黑体"/>
          <w:snapToGrid w:val="0"/>
          <w:sz w:val="32"/>
          <w:szCs w:val="32"/>
        </w:rPr>
      </w:pPr>
      <w:r>
        <w:rPr>
          <w:rFonts w:ascii="Times New Roman" w:hAnsi="Times New Roman" w:eastAsia="黑体"/>
          <w:snapToGrid w:val="0"/>
          <w:sz w:val="32"/>
          <w:szCs w:val="32"/>
        </w:rPr>
        <w:t>5  应急响应</w:t>
      </w:r>
    </w:p>
    <w:p w14:paraId="3BC6D4F0">
      <w:pPr>
        <w:autoSpaceDE w:val="0"/>
        <w:autoSpaceDN w:val="0"/>
        <w:adjustRightInd w:val="0"/>
        <w:spacing w:line="57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5.1  特别重大或重大地震灾害应急响应</w:t>
      </w:r>
    </w:p>
    <w:p w14:paraId="6B1DFF82">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5.1.1  先期处置</w:t>
      </w:r>
    </w:p>
    <w:p w14:paraId="17F6BC61">
      <w:pPr>
        <w:autoSpaceDE w:val="0"/>
        <w:autoSpaceDN w:val="0"/>
        <w:adjustRightInd w:val="0"/>
        <w:spacing w:line="570" w:lineRule="exact"/>
        <w:ind w:firstLine="624" w:firstLineChars="200"/>
        <w:rPr>
          <w:rFonts w:ascii="Times New Roman" w:hAnsi="Times New Roman" w:eastAsia="仿宋_GB2312"/>
          <w:spacing w:val="-4"/>
          <w:kern w:val="0"/>
          <w:sz w:val="32"/>
          <w:szCs w:val="32"/>
        </w:rPr>
      </w:pPr>
      <w:r>
        <w:rPr>
          <w:rFonts w:ascii="Times New Roman" w:hAnsi="Times New Roman" w:eastAsia="仿宋_GB2312"/>
          <w:spacing w:val="-4"/>
          <w:kern w:val="0"/>
          <w:sz w:val="32"/>
          <w:szCs w:val="32"/>
        </w:rPr>
        <w:t>特别重大或重大地震灾害发生后，开发</w:t>
      </w:r>
      <w:r>
        <w:rPr>
          <w:rFonts w:ascii="Times New Roman" w:hAnsi="Times New Roman" w:eastAsia="仿宋_GB2312"/>
          <w:kern w:val="0"/>
          <w:sz w:val="32"/>
          <w:szCs w:val="32"/>
        </w:rPr>
        <w:t>管委会、各街道应</w:t>
      </w:r>
      <w:r>
        <w:rPr>
          <w:rFonts w:ascii="Times New Roman" w:hAnsi="Times New Roman" w:eastAsia="仿宋_GB2312"/>
          <w:spacing w:val="-4"/>
          <w:kern w:val="0"/>
          <w:sz w:val="32"/>
          <w:szCs w:val="32"/>
        </w:rPr>
        <w:t>立即按照本级应急预案，先期成立抗震救灾指挥部，组织指挥辖区地震应急处置工作，立即发动当地干部群众开展自救互救，开展救援抢险等工作，并及时向市政府和市应急管理局、市住房和城乡建设局报告灾情和震情。市抗震救灾现场指挥部成立后，配合市抗震救灾现场指挥部开展抗震救灾工作。</w:t>
      </w:r>
    </w:p>
    <w:p w14:paraId="18927914">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5.1.2  应急响应启动</w:t>
      </w:r>
    </w:p>
    <w:p w14:paraId="52BA2818">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（1）特别重大或重大地震灾害发生后，开发区应急管理局、住建局迅速将震情和了解的灾情报告开发区党工委、管委会和市应急管理局；通过宣传部门利用各种媒介向社会发布地震信息。</w:t>
      </w:r>
    </w:p>
    <w:p w14:paraId="319B392D">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根据开发区管委会指示，区防震减灾工作联席会议立即转为区抗震救灾指挥部，立即启动应急响应，统一领导、指挥和协调全区抗震救灾工作。区抗震救灾指挥部宣布灾区进入震后应急期，并报市政府和市抗震救灾指挥部。</w:t>
      </w:r>
    </w:p>
    <w:p w14:paraId="1F0C9DAD">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（3）开发区有关部门、单位派出联络员参加区抗震救灾指挥部办公室工作；按照区抗震救灾指挥部的部署和各自地震应急预案的要求，组织对灾区支援，做好本部门、本系统的地震应急工作。</w:t>
      </w:r>
    </w:p>
    <w:p w14:paraId="3C6EF057">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5.1.3  灾情收集与报送</w:t>
      </w:r>
    </w:p>
    <w:p w14:paraId="69AC5F8C">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（1）各街道及时向管委会应急管理部门报告震情、灾情（人员伤亡、房屋损毁、次生灾害情况）等信息，必要时可越级上报。</w:t>
      </w:r>
    </w:p>
    <w:p w14:paraId="760D8969">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（2）开发区抗震救灾指挥部成员单位迅速了解、收集和汇总本行业灾情信息，分析评估救灾需求，并及时报告管委会和市区抗震救灾指挥部。</w:t>
      </w:r>
    </w:p>
    <w:p w14:paraId="56D1C931">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（3）开发区抗震救灾指挥部及时将初步掌握的震情、灾情报告市政府和市抗震救灾指挥部。</w:t>
      </w:r>
    </w:p>
    <w:p w14:paraId="2B3F96FE">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5.1.4  指挥协调</w:t>
      </w:r>
    </w:p>
    <w:p w14:paraId="07E2F16B">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开发区抗震救灾指挥部立即召开紧急会议，部署抗震救灾行动。</w:t>
      </w:r>
    </w:p>
    <w:p w14:paraId="6BDE2D13">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（1）分析、判断地震趋势，了解、掌握灾情，确定抗震救灾工作方案。成立并派遣区抗震救灾现场指挥部，赶赴灾区组织、指挥和协调现场抗震救灾工作。</w:t>
      </w:r>
    </w:p>
    <w:p w14:paraId="451BA767">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派遣区地震灾害紧急救援队、公安消防大队等各类专业抢险救援队伍，提请、衔接民兵预备役部队赶赴灾区抢救被压埋人员和被困群众，迅速组织医疗卫生救援队伍，开展伤员救治；协调伤员的转移、接收与救治；组织开展卫生防疫，预防和控制传染病疫情的发生。</w:t>
      </w:r>
    </w:p>
    <w:p w14:paraId="4DE63F8D">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（3）迅速组织工程抢修抢险专业队伍，修复毁坏的公路、水利、供水、供电、燃气、通信、广播电视等基础设施。</w:t>
      </w:r>
    </w:p>
    <w:p w14:paraId="260FACAA">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（4）各街道迅速组织群众防震避震、自救互救，动员社会组织、志愿者及社会公众参与地震应急和救援行动，协助各类救援队开展紧急救援活动。</w:t>
      </w:r>
    </w:p>
    <w:p w14:paraId="521F976C">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（5）开发区住建局、社会事业局、各街道迅速启用地震应急避难场所，设置临时住所和救灾物资供应点，组织转移和安置灾民。</w:t>
      </w:r>
    </w:p>
    <w:p w14:paraId="615EF34E">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（6）迅速控制危险源，封锁危险场所，视情况需要关闭人员密集场所，停止可能发生严重次生灾害的生产经营活动；划定可能引发次生灾害的危险区域和警戒区域，设置警戒标志，并采取紧急防控措施。</w:t>
      </w:r>
    </w:p>
    <w:p w14:paraId="2943D60F">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（7）依法采取紧急措施，维护社会秩序，维持社会治安，保护重点目标和场所。</w:t>
      </w:r>
    </w:p>
    <w:p w14:paraId="703CF1A1">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（8）向市抗震救灾指挥部报告震情、灾情和抗震救灾工作进展情况，并视需要请求支援。</w:t>
      </w:r>
    </w:p>
    <w:p w14:paraId="170520C5">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（9）及时向社会公告震情、灾情以及地震应急救援的动态信息。</w:t>
      </w:r>
    </w:p>
    <w:p w14:paraId="5668DDA9">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5.1.5  应急处置</w:t>
      </w:r>
    </w:p>
    <w:p w14:paraId="17548B0B">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开发区抗震救灾指挥部各成员单位及工作组按照指挥部统一部署，立即按职责开展抗震救灾工作。各工作组牵头单位负责协调本组高效有序开展工作，并及时将工作进展情况报送区抗震救灾指挥部。</w:t>
      </w:r>
    </w:p>
    <w:p w14:paraId="40738F32">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（1）搜救人员。开发区应急管理局、消防大队、住建局、社会事业局、各街道等部门和单位立即组织紧急救援队、消防大队、医疗救护队等各类专业抢险救援队伍赶赴灾区开展生命搜救，抢救被压埋人员。</w:t>
      </w:r>
    </w:p>
    <w:p w14:paraId="55B53177">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（2）医疗救护与卫生防疫。开发区社会事业局迅速组织协调医疗卫生救援队伍，赴灾区开展伤员救治、卫生防疫、卫生监督，以及心理援助等工作；协调区外医疗卫生救援队伍开展医疗卫生工作。</w:t>
      </w:r>
    </w:p>
    <w:p w14:paraId="2DB78ADC">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人员安置。开发区应急管理局组织制定和实施受灾群众的安置与救助方案，会同有关部门迅速调配帐篷、衣被、食品等救灾物品，协助街道、社区转移和安置灾民，妥善解决遇难人员善后事宜。动员组织社会团体、公众提供援助，接收和安排救灾捐赠资金及物资。</w:t>
      </w:r>
    </w:p>
    <w:p w14:paraId="51470B13">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开发区社会事业局立即指导组织转移和安置遭受破坏学校的学生，适时组织学校复课或设立临时教室，维持正常教学秩序。</w:t>
      </w:r>
    </w:p>
    <w:p w14:paraId="0F5C971E">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开发区经发局紧急调配粮油、食品、饮用水等救灾物资，保障灾区群众生活基本必需品的供应。</w:t>
      </w:r>
    </w:p>
    <w:p w14:paraId="63D23FF9">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开发区住建局、社会事业局等部门迅速组织力量对灾区民用住房和学校、医院等公共场所被损毁的建筑工程开展安全评估、鉴定，对建（构）筑物安全情况进行分类，并设置明显标识。</w:t>
      </w:r>
    </w:p>
    <w:p w14:paraId="02E0AA61">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应急通信。开发区党政办、组宣部、住建局组织协调各基础电信运营企业、铁塔公司，出动应急通信保障队伍，尽快修复被损坏的通信设施，优先做好抗震救灾指挥过程中公众通信网的应急通信保障组织工作。</w:t>
      </w:r>
    </w:p>
    <w:p w14:paraId="1E9D292C">
      <w:pPr>
        <w:autoSpaceDE w:val="0"/>
        <w:autoSpaceDN w:val="0"/>
        <w:adjustRightInd w:val="0"/>
        <w:spacing w:line="570" w:lineRule="exact"/>
        <w:ind w:firstLine="664" w:firstLineChars="200"/>
        <w:rPr>
          <w:rFonts w:ascii="Times New Roman" w:hAnsi="Times New Roman" w:eastAsia="仿宋_GB2312"/>
          <w:kern w:val="0"/>
          <w:sz w:val="32"/>
          <w:szCs w:val="32"/>
        </w:rPr>
      </w:pPr>
      <w:r>
        <w:rPr>
          <w:rFonts w:ascii="Times New Roman" w:hAnsi="Times New Roman" w:eastAsia="仿宋_GB2312"/>
          <w:spacing w:val="6"/>
          <w:kern w:val="0"/>
          <w:sz w:val="32"/>
          <w:szCs w:val="32"/>
        </w:rPr>
        <w:t>开发区</w:t>
      </w:r>
      <w:r>
        <w:rPr>
          <w:rFonts w:ascii="Times New Roman" w:hAnsi="Times New Roman" w:eastAsia="仿宋_GB2312"/>
          <w:kern w:val="0"/>
          <w:sz w:val="32"/>
          <w:szCs w:val="32"/>
        </w:rPr>
        <w:t>党政办为灾区应急救援活动提供无线电通讯保障，组织应急指挥车，赶赴灾区现场，为抗震救灾指挥部提供通信保障。</w:t>
      </w:r>
    </w:p>
    <w:p w14:paraId="6441ACF8">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交通运输。开发区住建局、交警大队等迅速查明交通中断情况，组织协调有关部门，修复被损毁的公路、桥梁等设施，为救援队伍、应急救援物资及时运达和灾民及时转移提供保障。开发区公安交警部门在灾区实行交通管制，开辟救灾绿色通道，保证救灾队伍和车辆通行。</w:t>
      </w:r>
    </w:p>
    <w:p w14:paraId="1FC28057">
      <w:pPr>
        <w:autoSpaceDE w:val="0"/>
        <w:autoSpaceDN w:val="0"/>
        <w:adjustRightInd w:val="0"/>
        <w:spacing w:line="570" w:lineRule="exact"/>
        <w:ind w:firstLine="640" w:firstLineChars="200"/>
        <w:rPr>
          <w:rFonts w:ascii="Times New Roman" w:hAnsi="Times New Roman" w:eastAsia="仿宋_GB2312"/>
          <w:kern w:val="0"/>
          <w:sz w:val="32"/>
          <w:szCs w:val="32"/>
          <w:highlight w:val="yellow"/>
          <w:u w:val="single"/>
        </w:rPr>
      </w:pPr>
      <w:r>
        <w:rPr>
          <w:rFonts w:ascii="Times New Roman" w:hAnsi="Times New Roman" w:eastAsia="仿宋_GB2312"/>
          <w:kern w:val="0"/>
          <w:sz w:val="32"/>
          <w:szCs w:val="32"/>
        </w:rPr>
        <w:t>（6）能源保障。供电公司、开发区住建局迅速组织调集抢修队伍，修复被损毁的电力设施和调度系统，优先抢修恢复城市供电；启用应急发电设备，确保应急救援用电需求。经发局组织协调成品油应急供应，保障抗震救灾需要。</w:t>
      </w:r>
    </w:p>
    <w:p w14:paraId="2838A7A2">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（7）基础设施。开发区住建局组织力量对灾区道路、桥梁、供排水、燃气等重要基础设施进行抢险抢修，尽快恢复生命线基础设施功能。</w:t>
      </w:r>
    </w:p>
    <w:p w14:paraId="12988B30">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（8）灾害监测</w:t>
      </w:r>
      <w:r>
        <w:rPr>
          <w:rFonts w:ascii="Times New Roman" w:hAnsi="Times New Roman" w:eastAsia="仿宋_GB2312"/>
          <w:spacing w:val="4"/>
          <w:kern w:val="0"/>
          <w:sz w:val="32"/>
          <w:szCs w:val="32"/>
        </w:rPr>
        <w:t>。开发</w:t>
      </w:r>
      <w:r>
        <w:rPr>
          <w:rFonts w:ascii="Times New Roman" w:hAnsi="Times New Roman" w:eastAsia="仿宋_GB2312"/>
          <w:kern w:val="0"/>
          <w:sz w:val="32"/>
          <w:szCs w:val="32"/>
        </w:rPr>
        <w:t>区住建局配合市住建局加强震情监视，布设流动监测台网，及时通报余震信息。</w:t>
      </w:r>
    </w:p>
    <w:p w14:paraId="7CB23054">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市自然资源局开发区分局组织指导协调和监督地质灾害隐患排查，指导开展专业监测和预报预警等工作，并会同有关部门对地震引发的山体滑坡、崩塌、泥石流、地面塌陷等次生地质灾害及地质灾害险情，按照有关规定采取紧急处置措施。</w:t>
      </w:r>
    </w:p>
    <w:p w14:paraId="267DE18D">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开发区社会事业局、住建局、各街道严密监视和预防河堤、水库、水闸、泵站等水利设施震损灾害的发生，发现被损毁的水利设施，立即采取紧急抢修排险措施。</w:t>
      </w:r>
    </w:p>
    <w:p w14:paraId="5E0756C4">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市生态环境局开发区分局负责组织对灾区空气、水质、土壤等污染状况进行监测，协助管委会采取污染防控措施。</w:t>
      </w:r>
    </w:p>
    <w:p w14:paraId="5535C3CA">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应急管理局、消防救援大队组织力量加强对可能造成次生灾害的危险化学品设施、油气管线、易燃易爆和有毒有害物质的检查、监测，防控和处置可能引发的爆炸、有毒有害物质的泄漏事件，及时扑灭火灾。</w:t>
      </w:r>
    </w:p>
    <w:p w14:paraId="54D988C4">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9）治安维护。开发区公安分局负责社会治安管理和安全保卫工作，加强对党政机关等要害部门和金融单位、储备仓库、救灾物资集散点等重点目标的警戒。预防和打击各种违法犯罪活动，做好涉灾矛盾纠纷化解和法律服务工作，维护社会稳定。</w:t>
      </w:r>
    </w:p>
    <w:p w14:paraId="13E22F6D">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10）社会动员。开发区应急管理局、社会事业局、人社局、各街道等部门加强应急志愿者队伍管理；及时开通应急志愿服务联系电话，统一接收志愿者组织报名，做好志愿者派遣和相关服务工作；根据灾区需求、交通运输等情况，向社会公布志愿服务需求指南，组织、引导志愿者安全有序参与救灾。开发区社会事业局视情组织开展为灾区捐款捐物活动，做好救灾捐赠的组织发动和款物接收、统计、分配、使用、公示反馈等工作。</w:t>
      </w:r>
    </w:p>
    <w:p w14:paraId="60AE3743">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（11）新闻宣传。开发区党政办、组宣部等适时向社会公告震情、灾情以及地震应急救援的动态信息，及时回应社会关切，正确引导社会舆情，平息地震谣传、误传事件。</w:t>
      </w:r>
    </w:p>
    <w:p w14:paraId="77B12078">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12）灾害调查与损失统计。开发区应急管理局、社会事业局、住建局、市自然资源局开发区分局、市生态环境局开发区分局等有关部门按分工，深入调查灾区范围、受灾人口、成灾人口、人员伤亡数量、建（构）筑物和基础设施破坏程度、环境影响程度等，汇总上报区抗震救灾指挥部。</w:t>
      </w:r>
    </w:p>
    <w:p w14:paraId="53008956">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5.1.6  应急结束</w:t>
      </w:r>
    </w:p>
    <w:p w14:paraId="48483A0D">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在地震灾害紧急处置工作基本结束、灾民紧急转移和安置工作基本完成、地震次生灾害基本消除或得到有效控制，以及交通、电力、通信和供水等设施基本抢修抢通、灾区生活秩序基本恢复后，由区抗震救灾指挥机构决定终止应急响应。</w:t>
      </w:r>
    </w:p>
    <w:p w14:paraId="46848EE3">
      <w:pPr>
        <w:autoSpaceDE w:val="0"/>
        <w:autoSpaceDN w:val="0"/>
        <w:adjustRightInd w:val="0"/>
        <w:spacing w:line="55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5.2  较大地震灾害应急响应</w:t>
      </w:r>
    </w:p>
    <w:p w14:paraId="619B6835">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5.2.1  应急处置</w:t>
      </w:r>
    </w:p>
    <w:p w14:paraId="10B84C65">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较大地震灾害发生后，开发区管委会应立即启动</w:t>
      </w:r>
      <w:r>
        <w:rPr>
          <w:rFonts w:hint="eastAsia" w:ascii="宋体" w:hAnsi="宋体" w:eastAsia="宋体" w:cs="宋体"/>
          <w:kern w:val="0"/>
          <w:sz w:val="32"/>
          <w:szCs w:val="32"/>
        </w:rPr>
        <w:t>Ⅲ</w:t>
      </w:r>
      <w:r>
        <w:rPr>
          <w:rFonts w:ascii="Times New Roman" w:hAnsi="Times New Roman" w:eastAsia="仿宋_GB2312"/>
          <w:kern w:val="0"/>
          <w:sz w:val="32"/>
          <w:szCs w:val="32"/>
        </w:rPr>
        <w:t>级应急响应，成立抗震救灾指挥部，领导、指挥和协调当地抗震救灾工作。迅速了解灾情并向市政府报告，同时报送市应急管理局；立即发动当地干部群众开展自救互救；及时按规定发布灾区交通管制等救灾命令，保障抗震救灾工作高效有序；组织派遣紧急救援队、公安消防队、医疗卫生救援队等力量开展人员搜救和医疗救护；启用地震应急避难场所，及时转移和安置受灾群众；紧急调运救灾帐篷、生活必需品等救灾物资和装备，保障受灾群众的基本生活需要；组织协调力量抢修通信、电力、交通、供水、燃气等基础设施；采取措施防范次生灾害发生；加强重要目标警戒和治安管理，预防和打击各种违法犯罪活动，维护社会稳定；做好抗震救灾宣传报道工作，适时向社会通报震情、灾情以及地震应急救援动态信息，及时掌握社会舆情，正确引导社会舆论，平息地震谣传、误传；按照市抗震救灾指挥机构的安排部署开展抗震救灾工作，并视情况向市抗震救灾指挥机构提出支援请求。</w:t>
      </w:r>
    </w:p>
    <w:p w14:paraId="3923EDC9">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5.2.2  应急响应启动</w:t>
      </w:r>
    </w:p>
    <w:p w14:paraId="3BC3D036">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（1）较大地震灾害发生后，开发区应急管理局、住建局应当迅速将震情报告开发区管委会和市应急管理局，同时通报开发区防震减灾工作联席会议成员单位；通过宣传部门利用各种媒介向社会发布地震信息。</w:t>
      </w:r>
    </w:p>
    <w:p w14:paraId="260E6537">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（2）经开发区管委会同意，开发区防震减灾工作联席会议转为区抗震救灾指挥部，做好地震应急工作。</w:t>
      </w:r>
    </w:p>
    <w:p w14:paraId="102BCA6D">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5.2.3  灾情报送</w:t>
      </w:r>
    </w:p>
    <w:p w14:paraId="34591843">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各街道迅速向管委会报告震情、灾情等信息，同时报送开发区应急管理局、住建局，必要时可越级上报。</w:t>
      </w:r>
    </w:p>
    <w:p w14:paraId="48AF0E77">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开发区抗震救灾指挥部成员单位及时了解、收集和汇总本行业灾情信息，分析评估救灾需求，并及时报告区抗震救灾指挥部办公室。</w:t>
      </w:r>
    </w:p>
    <w:p w14:paraId="4D9AD9E4">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开发区抗震救灾指挥部及时将初步掌握的震情、灾情报告市政府和市应急管理局。</w:t>
      </w:r>
    </w:p>
    <w:p w14:paraId="608EF2B6">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5.2.4  应急处置</w:t>
      </w:r>
    </w:p>
    <w:p w14:paraId="1F2D72D0">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震情监测。开发区住建局配合市相关地震工作部门赴地震现场，布设流动监测台网。</w:t>
      </w:r>
    </w:p>
    <w:p w14:paraId="41B6A8EE">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新闻宣传。开发区党政办、组宣部等适时向社会通报震情、灾情以及地震应急救援动态信息，及时掌握社会舆情，平息地震谣传、误传。</w:t>
      </w:r>
    </w:p>
    <w:p w14:paraId="28AA8184">
      <w:pPr>
        <w:autoSpaceDE w:val="0"/>
        <w:autoSpaceDN w:val="0"/>
        <w:adjustRightInd w:val="0"/>
        <w:spacing w:line="570" w:lineRule="exact"/>
        <w:ind w:firstLine="624" w:firstLineChars="200"/>
        <w:rPr>
          <w:rFonts w:ascii="Times New Roman" w:hAnsi="Times New Roman" w:eastAsia="仿宋_GB2312"/>
          <w:spacing w:val="-4"/>
          <w:kern w:val="0"/>
          <w:sz w:val="32"/>
          <w:szCs w:val="32"/>
        </w:rPr>
      </w:pPr>
      <w:r>
        <w:rPr>
          <w:rFonts w:ascii="Times New Roman" w:hAnsi="Times New Roman" w:eastAsia="仿宋_GB2312"/>
          <w:spacing w:val="-4"/>
          <w:kern w:val="0"/>
          <w:sz w:val="32"/>
          <w:szCs w:val="32"/>
        </w:rPr>
        <w:t>损失统计。开发区应急管理局负责组织、协调各街道、有关部门，对受灾情况进行调查、核实、汇总。</w:t>
      </w:r>
    </w:p>
    <w:p w14:paraId="03B12A20">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5.2.5  应急结束</w:t>
      </w:r>
    </w:p>
    <w:p w14:paraId="69466AFB">
      <w:pPr>
        <w:autoSpaceDE w:val="0"/>
        <w:autoSpaceDN w:val="0"/>
        <w:adjustRightInd w:val="0"/>
        <w:spacing w:line="570" w:lineRule="exact"/>
        <w:ind w:firstLine="640" w:firstLineChars="200"/>
        <w:rPr>
          <w:rFonts w:ascii="Times New Roman" w:hAnsi="Times New Roman" w:eastAsia="仿宋_GB2312"/>
          <w:color w:val="FF0000"/>
          <w:kern w:val="0"/>
          <w:sz w:val="32"/>
          <w:szCs w:val="32"/>
        </w:rPr>
      </w:pPr>
      <w:r>
        <w:rPr>
          <w:rFonts w:ascii="Times New Roman" w:hAnsi="Times New Roman" w:eastAsia="仿宋_GB2312"/>
          <w:kern w:val="0"/>
          <w:sz w:val="32"/>
          <w:szCs w:val="32"/>
        </w:rPr>
        <w:t>在抗震救灾工作基本结束、灾区生活秩序基本恢复后，由开发区抗震救灾指挥机构决定终止应急响应。</w:t>
      </w:r>
    </w:p>
    <w:p w14:paraId="50C6F03E">
      <w:pPr>
        <w:autoSpaceDE w:val="0"/>
        <w:autoSpaceDN w:val="0"/>
        <w:adjustRightInd w:val="0"/>
        <w:spacing w:line="57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5.3  一般地震灾害应急响应</w:t>
      </w:r>
    </w:p>
    <w:p w14:paraId="58B39CC3">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一般地震灾害发生后，开发区应急管理局、住建局应当迅速向开发区管委会和市应急管理局报告震情，并通报开发区防震减灾工作联席会议有关成员单位。开发区防震减灾工作联席会议转为区抗震救灾指挥部，做好地震应急工作。</w:t>
      </w:r>
    </w:p>
    <w:p w14:paraId="2CD02996">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开发区管委会根据市抗震救灾指挥部部署启动</w:t>
      </w:r>
      <w:r>
        <w:rPr>
          <w:rFonts w:hint="eastAsia" w:ascii="宋体" w:hAnsi="宋体" w:eastAsia="宋体" w:cs="宋体"/>
          <w:kern w:val="0"/>
          <w:sz w:val="32"/>
          <w:szCs w:val="32"/>
        </w:rPr>
        <w:t>Ⅳ</w:t>
      </w:r>
      <w:r>
        <w:rPr>
          <w:rFonts w:ascii="Times New Roman" w:hAnsi="Times New Roman" w:eastAsia="仿宋_GB2312"/>
          <w:kern w:val="0"/>
          <w:sz w:val="32"/>
          <w:szCs w:val="32"/>
        </w:rPr>
        <w:t>级地震应急响应，迅速向市政府报告震情、灾情等信息，同时报送市应急管理局，开展地震应急工作。做好信息发布等舆论引导工作，维护社会稳定，并将应急工作情况报送市应急管理部门。</w:t>
      </w:r>
    </w:p>
    <w:p w14:paraId="3F671979">
      <w:pPr>
        <w:autoSpaceDE w:val="0"/>
        <w:autoSpaceDN w:val="0"/>
        <w:snapToGrid w:val="0"/>
        <w:spacing w:line="570" w:lineRule="exact"/>
        <w:ind w:firstLine="640" w:firstLineChars="200"/>
        <w:rPr>
          <w:rFonts w:ascii="Times New Roman" w:hAnsi="Times New Roman" w:eastAsia="黑体"/>
          <w:snapToGrid w:val="0"/>
          <w:sz w:val="32"/>
          <w:szCs w:val="32"/>
        </w:rPr>
      </w:pPr>
      <w:r>
        <w:rPr>
          <w:rFonts w:ascii="Times New Roman" w:hAnsi="Times New Roman" w:eastAsia="黑体"/>
          <w:snapToGrid w:val="0"/>
          <w:sz w:val="32"/>
          <w:szCs w:val="32"/>
        </w:rPr>
        <w:t>6  恢复重建</w:t>
      </w:r>
    </w:p>
    <w:p w14:paraId="75EC77D7">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开发区经发局、财政局、住建局、社会事业局、市自然资源局开发区分局等有关部门和单位按照职责分工，组织对受灾企业、</w:t>
      </w:r>
      <w:r>
        <w:rPr>
          <w:rFonts w:ascii="Times New Roman" w:hAnsi="Times New Roman" w:eastAsia="仿宋_GB2312"/>
          <w:spacing w:val="4"/>
          <w:kern w:val="0"/>
          <w:sz w:val="32"/>
          <w:szCs w:val="32"/>
        </w:rPr>
        <w:t>医疗卫生机构、</w:t>
      </w:r>
      <w:r>
        <w:rPr>
          <w:rFonts w:ascii="Times New Roman" w:hAnsi="Times New Roman" w:eastAsia="仿宋_GB2312"/>
          <w:kern w:val="0"/>
          <w:sz w:val="32"/>
          <w:szCs w:val="32"/>
        </w:rPr>
        <w:t>学校、商贸、农业等工程建筑及供电、供水、燃气等市政基础设施损毁情况进行调查、核实，协助</w:t>
      </w:r>
      <w:r>
        <w:rPr>
          <w:rFonts w:ascii="Times New Roman" w:hAnsi="Times New Roman" w:eastAsia="仿宋_GB2312"/>
          <w:spacing w:val="4"/>
          <w:kern w:val="0"/>
          <w:sz w:val="32"/>
          <w:szCs w:val="32"/>
        </w:rPr>
        <w:t>做</w:t>
      </w:r>
      <w:r>
        <w:rPr>
          <w:rFonts w:ascii="Times New Roman" w:hAnsi="Times New Roman" w:eastAsia="仿宋_GB2312"/>
          <w:kern w:val="0"/>
          <w:sz w:val="32"/>
          <w:szCs w:val="32"/>
        </w:rPr>
        <w:t>好保险理赔工作，帮助灾区恢复生产经营。</w:t>
      </w:r>
    </w:p>
    <w:p w14:paraId="10543D8D">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地震灾害发生后，开发区管委会根据市政府组织编制地震灾后恢复重建规划以及开发区经济社会发展水平，有计划、分步骤地组织实施灾后恢复重建。</w:t>
      </w:r>
    </w:p>
    <w:p w14:paraId="7A0C043F">
      <w:pPr>
        <w:autoSpaceDE w:val="0"/>
        <w:autoSpaceDN w:val="0"/>
        <w:snapToGrid w:val="0"/>
        <w:spacing w:line="570" w:lineRule="exact"/>
        <w:ind w:firstLine="640" w:firstLineChars="200"/>
        <w:rPr>
          <w:rFonts w:ascii="Times New Roman" w:hAnsi="Times New Roman" w:eastAsia="黑体"/>
          <w:snapToGrid w:val="0"/>
          <w:sz w:val="32"/>
          <w:szCs w:val="32"/>
        </w:rPr>
      </w:pPr>
      <w:r>
        <w:rPr>
          <w:rFonts w:ascii="Times New Roman" w:hAnsi="Times New Roman" w:eastAsia="黑体"/>
          <w:snapToGrid w:val="0"/>
          <w:sz w:val="32"/>
          <w:szCs w:val="32"/>
        </w:rPr>
        <w:t>7  其他地震事件应急响应</w:t>
      </w:r>
    </w:p>
    <w:p w14:paraId="5F53DEAA">
      <w:pPr>
        <w:autoSpaceDE w:val="0"/>
        <w:autoSpaceDN w:val="0"/>
        <w:snapToGrid w:val="0"/>
        <w:spacing w:line="570" w:lineRule="exact"/>
        <w:ind w:firstLine="640" w:firstLineChars="200"/>
        <w:rPr>
          <w:rFonts w:ascii="Times New Roman" w:hAnsi="Times New Roman" w:eastAsia="楷体_GB2312"/>
          <w:snapToGrid w:val="0"/>
          <w:sz w:val="32"/>
          <w:szCs w:val="32"/>
        </w:rPr>
      </w:pPr>
      <w:r>
        <w:rPr>
          <w:rFonts w:ascii="Times New Roman" w:hAnsi="Times New Roman" w:eastAsia="楷体_GB2312"/>
          <w:snapToGrid w:val="0"/>
          <w:sz w:val="32"/>
          <w:szCs w:val="32"/>
        </w:rPr>
        <w:t>7.1  地震传言事件应急响应</w:t>
      </w:r>
    </w:p>
    <w:p w14:paraId="3C283609">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出现地震谣传、误传事件时，开发区管委会应当及时报告市委、市政府并通报市应急管理局；根据市政府给出的平息地震谣传、误传事件的意见，开展调查、宣传和稳定社会等工作，采取有效措施，及时平息地震谣传、误传事件。开发区公安部门对造谣、传谣等事件进行依法查处。</w:t>
      </w:r>
    </w:p>
    <w:p w14:paraId="0C305F5E">
      <w:pPr>
        <w:autoSpaceDE w:val="0"/>
        <w:autoSpaceDN w:val="0"/>
        <w:adjustRightInd w:val="0"/>
        <w:spacing w:line="60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7.2  特殊时期应急戒备</w:t>
      </w:r>
    </w:p>
    <w:p w14:paraId="4B9F468C">
      <w:pPr>
        <w:autoSpaceDE w:val="0"/>
        <w:autoSpaceDN w:val="0"/>
        <w:adjustRightIn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在地震应急期间，开发区应急管理局加强应急值守，部署地震监测、震情会商、地震应急准备、平息地震谣言等应急戒备工作。</w:t>
      </w:r>
    </w:p>
    <w:p w14:paraId="22EEF5F0">
      <w:pPr>
        <w:autoSpaceDE w:val="0"/>
        <w:autoSpaceDN w:val="0"/>
        <w:adjustRightInd w:val="0"/>
        <w:spacing w:line="60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7.3 邻区或近海海域地震应急响应</w:t>
      </w:r>
    </w:p>
    <w:p w14:paraId="6A45F32F">
      <w:pPr>
        <w:autoSpaceDE w:val="0"/>
        <w:autoSpaceDN w:val="0"/>
        <w:adjustRightIn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与开发区相邻的城区或近海海域发生地震灾害影响我区，建（构）筑物遭受破坏和人员伤亡时，开发区应急管理局、住建局等有关部门应及时上报震情、灾情的危害和影响程度，开发区管委会根据市抗震救灾指挥部统一部署启动相应级别的应急响应</w:t>
      </w:r>
      <w:bookmarkStart w:id="503" w:name="_GoBack"/>
      <w:bookmarkEnd w:id="503"/>
      <w:r>
        <w:rPr>
          <w:rFonts w:ascii="Times New Roman" w:hAnsi="Times New Roman" w:eastAsia="仿宋_GB2312"/>
          <w:kern w:val="0"/>
          <w:sz w:val="32"/>
          <w:szCs w:val="32"/>
        </w:rPr>
        <w:t>。</w:t>
      </w:r>
    </w:p>
    <w:p w14:paraId="008D22C7">
      <w:pPr>
        <w:autoSpaceDE w:val="0"/>
        <w:autoSpaceDN w:val="0"/>
        <w:snapToGrid w:val="0"/>
        <w:spacing w:line="57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8  应急保障</w:t>
      </w:r>
    </w:p>
    <w:p w14:paraId="681C8D2D">
      <w:pPr>
        <w:autoSpaceDE w:val="0"/>
        <w:autoSpaceDN w:val="0"/>
        <w:snapToGrid w:val="0"/>
        <w:spacing w:line="570" w:lineRule="exact"/>
        <w:ind w:firstLine="624"/>
        <w:rPr>
          <w:rFonts w:ascii="Times New Roman" w:hAnsi="Times New Roman" w:eastAsia="楷体_GB2312"/>
          <w:snapToGrid w:val="0"/>
          <w:sz w:val="32"/>
          <w:szCs w:val="32"/>
        </w:rPr>
      </w:pPr>
      <w:r>
        <w:rPr>
          <w:rFonts w:ascii="Times New Roman" w:hAnsi="Times New Roman" w:eastAsia="楷体_GB2312"/>
          <w:snapToGrid w:val="0"/>
          <w:sz w:val="32"/>
          <w:szCs w:val="32"/>
        </w:rPr>
        <w:t>8.1  资金与物资</w:t>
      </w:r>
    </w:p>
    <w:p w14:paraId="6D983EA4">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经发局负责组织、协调救灾物资的调拨和紧急供应。区社会事业局负责组织、协调应急救治药品、医疗器械、医疗防护用品、消毒用品的生产供应和储备、粮食的紧急供应、应急帐篷等物资的储备和供应，保障灾民的基本生活。</w:t>
      </w:r>
      <w:bookmarkStart w:id="1" w:name="_Toc111783735"/>
      <w:bookmarkStart w:id="2" w:name="_Toc109380120"/>
      <w:bookmarkStart w:id="3" w:name="_Toc111783383"/>
      <w:bookmarkStart w:id="4" w:name="_Toc106789309"/>
      <w:bookmarkStart w:id="5" w:name="_Toc108698087"/>
      <w:bookmarkStart w:id="6" w:name="_Toc106790327"/>
      <w:bookmarkStart w:id="7" w:name="_Toc111790205"/>
      <w:bookmarkStart w:id="8" w:name="_Toc108697441"/>
      <w:bookmarkStart w:id="9" w:name="_Toc86655266"/>
      <w:r>
        <w:rPr>
          <w:rFonts w:ascii="Times New Roman" w:hAnsi="Times New Roman" w:eastAsia="仿宋_GB2312"/>
          <w:kern w:val="0"/>
          <w:sz w:val="32"/>
          <w:szCs w:val="32"/>
        </w:rPr>
        <w:t>开发区住建局等部门负责组织建筑、工程抢险所需物资的储备和供应。开发区管委会及其有关部门根据有关法律法规，做好应急物资储备工作。</w:t>
      </w:r>
    </w:p>
    <w:bookmarkEnd w:id="1"/>
    <w:bookmarkEnd w:id="2"/>
    <w:bookmarkEnd w:id="3"/>
    <w:bookmarkEnd w:id="4"/>
    <w:bookmarkEnd w:id="5"/>
    <w:bookmarkEnd w:id="6"/>
    <w:bookmarkEnd w:id="7"/>
    <w:bookmarkEnd w:id="8"/>
    <w:bookmarkEnd w:id="9"/>
    <w:p w14:paraId="55E1444E">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地震灾害应急处置工作所必需的专项资金由财政分级予以保障、负担。对于地震灾害损失较大，根据实际情况，由开发区管委会请求市财政适当予以支持。</w:t>
      </w:r>
    </w:p>
    <w:p w14:paraId="6ED252F5">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开发区管委会保障抗震救灾工作所需经费。对于地震灾害损失较大，根据实际情况，由区管委会请求市财政适当予以支持。</w:t>
      </w:r>
    </w:p>
    <w:p w14:paraId="1930D96A">
      <w:pPr>
        <w:autoSpaceDE w:val="0"/>
        <w:autoSpaceDN w:val="0"/>
        <w:snapToGrid w:val="0"/>
        <w:spacing w:line="570" w:lineRule="exact"/>
        <w:ind w:firstLine="624"/>
        <w:rPr>
          <w:rFonts w:ascii="Times New Roman" w:hAnsi="Times New Roman" w:eastAsia="楷体_GB2312"/>
          <w:snapToGrid w:val="0"/>
          <w:sz w:val="32"/>
          <w:szCs w:val="32"/>
        </w:rPr>
      </w:pPr>
      <w:r>
        <w:rPr>
          <w:rFonts w:ascii="Times New Roman" w:hAnsi="Times New Roman" w:eastAsia="楷体_GB2312"/>
          <w:snapToGrid w:val="0"/>
          <w:sz w:val="32"/>
          <w:szCs w:val="32"/>
        </w:rPr>
        <w:t>8.2 救援队伍</w:t>
      </w:r>
    </w:p>
    <w:p w14:paraId="7FAD5B58">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地震应急救援队伍按照人员抢救、工程抢险、次生灾害救援、医疗救护、地震现场应急等类别进行配置和管理。应急救援队伍资源配置如下表：</w:t>
      </w:r>
    </w:p>
    <w:p w14:paraId="7D2564E4">
      <w:pPr>
        <w:pStyle w:val="2"/>
        <w:ind w:firstLine="480"/>
        <w:rPr>
          <w:rFonts w:cs="Times New Roman"/>
        </w:rPr>
      </w:pPr>
    </w:p>
    <w:p w14:paraId="4B332576">
      <w:pPr>
        <w:autoSpaceDE w:val="0"/>
        <w:autoSpaceDN w:val="0"/>
        <w:adjustRightInd w:val="0"/>
        <w:spacing w:before="72" w:beforeLines="30" w:after="72" w:afterLines="30" w:line="570" w:lineRule="exact"/>
        <w:jc w:val="center"/>
        <w:rPr>
          <w:rFonts w:ascii="Times New Roman" w:hAnsi="Times New Roman" w:eastAsia="方正黑体_GBK"/>
          <w:kern w:val="0"/>
          <w:sz w:val="32"/>
          <w:szCs w:val="32"/>
        </w:rPr>
      </w:pPr>
      <w:r>
        <w:rPr>
          <w:rFonts w:ascii="Times New Roman" w:hAnsi="Times New Roman" w:eastAsia="方正黑体_GBK"/>
          <w:kern w:val="0"/>
          <w:sz w:val="32"/>
          <w:szCs w:val="32"/>
        </w:rPr>
        <w:t>应急队伍资源及其组织方案表</w:t>
      </w:r>
    </w:p>
    <w:tbl>
      <w:tblPr>
        <w:tblStyle w:val="23"/>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863"/>
        <w:gridCol w:w="2874"/>
        <w:gridCol w:w="2606"/>
      </w:tblGrid>
      <w:tr w14:paraId="70B6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7" w:type="dxa"/>
            <w:vAlign w:val="center"/>
          </w:tcPr>
          <w:p w14:paraId="19AA1FE3">
            <w:pPr>
              <w:autoSpaceDE w:val="0"/>
              <w:autoSpaceDN w:val="0"/>
              <w:adjustRightInd w:val="0"/>
              <w:spacing w:line="360" w:lineRule="exact"/>
              <w:jc w:val="center"/>
              <w:rPr>
                <w:rFonts w:ascii="Times New Roman" w:hAnsi="Times New Roman" w:eastAsia="黑体"/>
                <w:kern w:val="0"/>
                <w:sz w:val="24"/>
                <w:szCs w:val="24"/>
              </w:rPr>
            </w:pPr>
            <w:r>
              <w:rPr>
                <w:rFonts w:ascii="Times New Roman" w:hAnsi="Times New Roman" w:eastAsia="黑体"/>
                <w:kern w:val="0"/>
                <w:sz w:val="24"/>
                <w:szCs w:val="24"/>
              </w:rPr>
              <w:t>应急救援任务</w:t>
            </w:r>
          </w:p>
        </w:tc>
        <w:tc>
          <w:tcPr>
            <w:tcW w:w="1863" w:type="dxa"/>
            <w:vAlign w:val="center"/>
          </w:tcPr>
          <w:p w14:paraId="0EC66CAC">
            <w:pPr>
              <w:autoSpaceDE w:val="0"/>
              <w:autoSpaceDN w:val="0"/>
              <w:adjustRightInd w:val="0"/>
              <w:spacing w:line="360" w:lineRule="exact"/>
              <w:jc w:val="center"/>
              <w:rPr>
                <w:rFonts w:ascii="Times New Roman" w:hAnsi="Times New Roman" w:eastAsia="黑体"/>
                <w:kern w:val="0"/>
                <w:sz w:val="24"/>
                <w:szCs w:val="24"/>
              </w:rPr>
            </w:pPr>
            <w:r>
              <w:rPr>
                <w:rFonts w:ascii="Times New Roman" w:hAnsi="Times New Roman" w:eastAsia="黑体"/>
                <w:kern w:val="0"/>
                <w:sz w:val="24"/>
                <w:szCs w:val="24"/>
              </w:rPr>
              <w:t>先期处置队伍</w:t>
            </w:r>
          </w:p>
        </w:tc>
        <w:tc>
          <w:tcPr>
            <w:tcW w:w="2874" w:type="dxa"/>
            <w:vAlign w:val="center"/>
          </w:tcPr>
          <w:p w14:paraId="5EA67B8A">
            <w:pPr>
              <w:autoSpaceDE w:val="0"/>
              <w:autoSpaceDN w:val="0"/>
              <w:adjustRightInd w:val="0"/>
              <w:spacing w:line="360" w:lineRule="exact"/>
              <w:jc w:val="center"/>
              <w:rPr>
                <w:rFonts w:ascii="Times New Roman" w:hAnsi="Times New Roman" w:eastAsia="黑体"/>
                <w:kern w:val="0"/>
                <w:sz w:val="24"/>
                <w:szCs w:val="24"/>
              </w:rPr>
            </w:pPr>
            <w:r>
              <w:rPr>
                <w:rFonts w:ascii="Times New Roman" w:hAnsi="Times New Roman" w:eastAsia="黑体"/>
                <w:kern w:val="0"/>
                <w:sz w:val="24"/>
                <w:szCs w:val="24"/>
              </w:rPr>
              <w:t>第一支援梯队</w:t>
            </w:r>
          </w:p>
        </w:tc>
        <w:tc>
          <w:tcPr>
            <w:tcW w:w="2606" w:type="dxa"/>
            <w:vAlign w:val="center"/>
          </w:tcPr>
          <w:p w14:paraId="10850917">
            <w:pPr>
              <w:autoSpaceDE w:val="0"/>
              <w:autoSpaceDN w:val="0"/>
              <w:adjustRightInd w:val="0"/>
              <w:spacing w:line="360" w:lineRule="exact"/>
              <w:jc w:val="center"/>
              <w:rPr>
                <w:rFonts w:ascii="Times New Roman" w:hAnsi="Times New Roman" w:eastAsia="黑体"/>
                <w:kern w:val="0"/>
                <w:sz w:val="24"/>
                <w:szCs w:val="24"/>
              </w:rPr>
            </w:pPr>
            <w:r>
              <w:rPr>
                <w:rFonts w:ascii="Times New Roman" w:hAnsi="Times New Roman" w:eastAsia="黑体"/>
                <w:kern w:val="0"/>
                <w:sz w:val="24"/>
                <w:szCs w:val="24"/>
              </w:rPr>
              <w:t>第二支援梯队</w:t>
            </w:r>
          </w:p>
        </w:tc>
      </w:tr>
      <w:tr w14:paraId="166A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717" w:type="dxa"/>
            <w:vAlign w:val="center"/>
          </w:tcPr>
          <w:p w14:paraId="348A56D4">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人员抢救</w:t>
            </w:r>
          </w:p>
        </w:tc>
        <w:tc>
          <w:tcPr>
            <w:tcW w:w="1863" w:type="dxa"/>
            <w:vAlign w:val="center"/>
          </w:tcPr>
          <w:p w14:paraId="1B5EDD91">
            <w:pPr>
              <w:autoSpaceDE w:val="0"/>
              <w:autoSpaceDN w:val="0"/>
              <w:adjustRightInd w:val="0"/>
              <w:spacing w:line="320" w:lineRule="exact"/>
              <w:jc w:val="center"/>
              <w:rPr>
                <w:rFonts w:ascii="Times New Roman" w:hAnsi="Times New Roman" w:eastAsia="仿宋_GB2312"/>
                <w:spacing w:val="-8"/>
                <w:kern w:val="0"/>
                <w:sz w:val="24"/>
                <w:szCs w:val="24"/>
              </w:rPr>
            </w:pPr>
            <w:r>
              <w:rPr>
                <w:rFonts w:ascii="Times New Roman" w:hAnsi="Times New Roman" w:eastAsia="仿宋_GB2312"/>
                <w:spacing w:val="-8"/>
                <w:kern w:val="0"/>
                <w:sz w:val="24"/>
                <w:szCs w:val="24"/>
              </w:rPr>
              <w:t>村、社区志愿者</w:t>
            </w:r>
          </w:p>
          <w:p w14:paraId="79B71857">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spacing w:val="-8"/>
                <w:kern w:val="0"/>
                <w:sz w:val="24"/>
                <w:szCs w:val="24"/>
              </w:rPr>
              <w:t>队</w:t>
            </w:r>
            <w:r>
              <w:rPr>
                <w:rFonts w:ascii="Times New Roman" w:hAnsi="Times New Roman" w:eastAsia="仿宋_GB2312"/>
                <w:kern w:val="0"/>
                <w:sz w:val="24"/>
                <w:szCs w:val="24"/>
              </w:rPr>
              <w:t>伍、民兵组织</w:t>
            </w:r>
          </w:p>
        </w:tc>
        <w:tc>
          <w:tcPr>
            <w:tcW w:w="2874" w:type="dxa"/>
            <w:tcMar>
              <w:left w:w="28" w:type="dxa"/>
              <w:right w:w="28" w:type="dxa"/>
            </w:tcMar>
            <w:vAlign w:val="center"/>
          </w:tcPr>
          <w:p w14:paraId="19700DAD">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地方救援队</w:t>
            </w:r>
          </w:p>
          <w:p w14:paraId="5E9D41E1">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市地震灾害应急救援队</w:t>
            </w:r>
          </w:p>
          <w:p w14:paraId="156F2287">
            <w:pPr>
              <w:autoSpaceDE w:val="0"/>
              <w:autoSpaceDN w:val="0"/>
              <w:adjustRightInd w:val="0"/>
              <w:spacing w:line="320" w:lineRule="exact"/>
              <w:jc w:val="center"/>
              <w:rPr>
                <w:rFonts w:ascii="Times New Roman" w:hAnsi="Times New Roman" w:eastAsia="仿宋_GB2312"/>
                <w:w w:val="85"/>
                <w:kern w:val="0"/>
                <w:sz w:val="24"/>
                <w:szCs w:val="24"/>
              </w:rPr>
            </w:pPr>
            <w:r>
              <w:rPr>
                <w:rFonts w:ascii="Times New Roman" w:hAnsi="Times New Roman" w:eastAsia="仿宋_GB2312"/>
                <w:kern w:val="0"/>
                <w:sz w:val="24"/>
                <w:szCs w:val="24"/>
              </w:rPr>
              <w:t>当地驻军及武警、消防救援队伍</w:t>
            </w:r>
          </w:p>
        </w:tc>
        <w:tc>
          <w:tcPr>
            <w:tcW w:w="2606" w:type="dxa"/>
            <w:tcMar>
              <w:left w:w="28" w:type="dxa"/>
              <w:right w:w="28" w:type="dxa"/>
            </w:tcMar>
            <w:vAlign w:val="center"/>
          </w:tcPr>
          <w:p w14:paraId="2B9496C8">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邻近地区应急救援队伍</w:t>
            </w:r>
          </w:p>
          <w:p w14:paraId="07A45608">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spacing w:val="-6"/>
                <w:kern w:val="0"/>
                <w:sz w:val="24"/>
                <w:szCs w:val="24"/>
              </w:rPr>
              <w:t>省地震灾害应急救援</w:t>
            </w:r>
            <w:r>
              <w:rPr>
                <w:rFonts w:ascii="Times New Roman" w:hAnsi="Times New Roman" w:eastAsia="仿宋_GB2312"/>
                <w:kern w:val="0"/>
                <w:sz w:val="24"/>
                <w:szCs w:val="24"/>
              </w:rPr>
              <w:t>队</w:t>
            </w:r>
          </w:p>
        </w:tc>
      </w:tr>
      <w:tr w14:paraId="20475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717" w:type="dxa"/>
            <w:vAlign w:val="center"/>
          </w:tcPr>
          <w:p w14:paraId="75D78AB1">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工程抢险</w:t>
            </w:r>
          </w:p>
        </w:tc>
        <w:tc>
          <w:tcPr>
            <w:tcW w:w="1863" w:type="dxa"/>
            <w:vAlign w:val="center"/>
          </w:tcPr>
          <w:p w14:paraId="4525EB42">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区抢险队伍</w:t>
            </w:r>
          </w:p>
        </w:tc>
        <w:tc>
          <w:tcPr>
            <w:tcW w:w="2874" w:type="dxa"/>
            <w:vAlign w:val="center"/>
          </w:tcPr>
          <w:p w14:paraId="35EB34E8">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行业专业抢险队伍</w:t>
            </w:r>
          </w:p>
        </w:tc>
        <w:tc>
          <w:tcPr>
            <w:tcW w:w="2606" w:type="dxa"/>
            <w:vAlign w:val="center"/>
          </w:tcPr>
          <w:p w14:paraId="364ABAB9">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邻近地区抢险队伍</w:t>
            </w:r>
          </w:p>
        </w:tc>
      </w:tr>
      <w:tr w14:paraId="16DC5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717" w:type="dxa"/>
            <w:vAlign w:val="center"/>
          </w:tcPr>
          <w:p w14:paraId="0FF9EE75">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次生灾害救援</w:t>
            </w:r>
          </w:p>
        </w:tc>
        <w:tc>
          <w:tcPr>
            <w:tcW w:w="1863" w:type="dxa"/>
            <w:vAlign w:val="center"/>
          </w:tcPr>
          <w:p w14:paraId="1796F1F5">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消防救援队伍</w:t>
            </w:r>
          </w:p>
        </w:tc>
        <w:tc>
          <w:tcPr>
            <w:tcW w:w="2874" w:type="dxa"/>
            <w:vAlign w:val="center"/>
          </w:tcPr>
          <w:p w14:paraId="45318F0C">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行业特种救援队伍</w:t>
            </w:r>
          </w:p>
        </w:tc>
        <w:tc>
          <w:tcPr>
            <w:tcW w:w="2606" w:type="dxa"/>
            <w:tcMar>
              <w:left w:w="28" w:type="dxa"/>
              <w:right w:w="28" w:type="dxa"/>
            </w:tcMar>
            <w:vAlign w:val="center"/>
          </w:tcPr>
          <w:p w14:paraId="2D8862BC">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邻近地区特种救援队伍</w:t>
            </w:r>
          </w:p>
        </w:tc>
      </w:tr>
      <w:tr w14:paraId="736E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717" w:type="dxa"/>
            <w:vAlign w:val="center"/>
          </w:tcPr>
          <w:p w14:paraId="3C62A536">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医疗救护</w:t>
            </w:r>
          </w:p>
        </w:tc>
        <w:tc>
          <w:tcPr>
            <w:tcW w:w="1863" w:type="dxa"/>
            <w:tcMar>
              <w:left w:w="28" w:type="dxa"/>
              <w:right w:w="28" w:type="dxa"/>
            </w:tcMar>
            <w:vAlign w:val="center"/>
          </w:tcPr>
          <w:p w14:paraId="176555E3">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spacing w:val="-10"/>
                <w:kern w:val="0"/>
                <w:sz w:val="24"/>
                <w:szCs w:val="24"/>
              </w:rPr>
              <w:t>区医疗卫生队</w:t>
            </w:r>
            <w:r>
              <w:rPr>
                <w:rFonts w:ascii="Times New Roman" w:hAnsi="Times New Roman" w:eastAsia="仿宋_GB2312"/>
                <w:kern w:val="0"/>
                <w:sz w:val="24"/>
                <w:szCs w:val="24"/>
              </w:rPr>
              <w:t>伍</w:t>
            </w:r>
          </w:p>
        </w:tc>
        <w:tc>
          <w:tcPr>
            <w:tcW w:w="2874" w:type="dxa"/>
            <w:vAlign w:val="center"/>
          </w:tcPr>
          <w:p w14:paraId="29D089D9">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市、县医疗卫生救援队伍</w:t>
            </w:r>
          </w:p>
        </w:tc>
        <w:tc>
          <w:tcPr>
            <w:tcW w:w="2606" w:type="dxa"/>
            <w:vAlign w:val="center"/>
          </w:tcPr>
          <w:p w14:paraId="0FB6EB18">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省和军队医疗卫生</w:t>
            </w:r>
          </w:p>
          <w:p w14:paraId="03E25789">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救援队伍</w:t>
            </w:r>
          </w:p>
        </w:tc>
      </w:tr>
      <w:tr w14:paraId="2CC21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717" w:type="dxa"/>
            <w:vAlign w:val="center"/>
          </w:tcPr>
          <w:p w14:paraId="75348B72">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地震现场应急</w:t>
            </w:r>
          </w:p>
        </w:tc>
        <w:tc>
          <w:tcPr>
            <w:tcW w:w="1863" w:type="dxa"/>
            <w:vAlign w:val="center"/>
          </w:tcPr>
          <w:p w14:paraId="08836CF9">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区应急部门现场应急队伍</w:t>
            </w:r>
          </w:p>
        </w:tc>
        <w:tc>
          <w:tcPr>
            <w:tcW w:w="2874" w:type="dxa"/>
            <w:vAlign w:val="center"/>
          </w:tcPr>
          <w:p w14:paraId="79E9BCED">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市地震现场应急队伍</w:t>
            </w:r>
          </w:p>
        </w:tc>
        <w:tc>
          <w:tcPr>
            <w:tcW w:w="2606" w:type="dxa"/>
            <w:vAlign w:val="center"/>
          </w:tcPr>
          <w:p w14:paraId="650AB6CD">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省地震现场应急队伍</w:t>
            </w:r>
          </w:p>
        </w:tc>
      </w:tr>
    </w:tbl>
    <w:p w14:paraId="0AB12C56">
      <w:pPr>
        <w:autoSpaceDE w:val="0"/>
        <w:autoSpaceDN w:val="0"/>
        <w:adjustRightInd w:val="0"/>
        <w:spacing w:line="560" w:lineRule="exact"/>
        <w:ind w:firstLine="624"/>
        <w:rPr>
          <w:rFonts w:ascii="Times New Roman" w:hAnsi="Times New Roman" w:eastAsia="楷体_GB2312"/>
          <w:kern w:val="0"/>
          <w:sz w:val="32"/>
          <w:szCs w:val="32"/>
        </w:rPr>
      </w:pPr>
      <w:r>
        <w:rPr>
          <w:rFonts w:ascii="Times New Roman" w:hAnsi="Times New Roman" w:eastAsia="楷体_GB2312"/>
          <w:kern w:val="0"/>
          <w:sz w:val="32"/>
          <w:szCs w:val="32"/>
        </w:rPr>
        <w:t>8.3  指挥平台</w:t>
      </w:r>
    </w:p>
    <w:p w14:paraId="67D25A95">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开发区区党政办、应急管理局要大力推进应急指挥技术系统建设，并加强维护与管理，确保在紧急情况下，信息畅通，反应迅速，与市应急指挥实现信息共享与互联互通。</w:t>
      </w:r>
    </w:p>
    <w:p w14:paraId="5B53D873">
      <w:pPr>
        <w:autoSpaceDE w:val="0"/>
        <w:autoSpaceDN w:val="0"/>
        <w:adjustRightInd w:val="0"/>
        <w:spacing w:line="560" w:lineRule="exact"/>
        <w:ind w:firstLine="624"/>
        <w:rPr>
          <w:rFonts w:ascii="Times New Roman" w:hAnsi="Times New Roman" w:eastAsia="楷体_GB2312"/>
          <w:kern w:val="0"/>
          <w:sz w:val="32"/>
          <w:szCs w:val="32"/>
        </w:rPr>
      </w:pPr>
      <w:r>
        <w:rPr>
          <w:rFonts w:ascii="Times New Roman" w:hAnsi="Times New Roman" w:eastAsia="楷体_GB2312"/>
          <w:kern w:val="0"/>
          <w:sz w:val="32"/>
          <w:szCs w:val="32"/>
        </w:rPr>
        <w:t>8.4  避难场所</w:t>
      </w:r>
    </w:p>
    <w:p w14:paraId="2D43875C">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利用广场、绿地、公园、学校、工业展览馆等公共设施，因地制宜设立地震应急避难场所，统筹安排必需的交通、通信、供水、供电、排污、环保、物资储备等设备设施。制定应急避难场所运行方案，并组织演练。</w:t>
      </w:r>
    </w:p>
    <w:p w14:paraId="101DF82F">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已建成的避难场所，要明确责任主体，加强日常管理、维护，定期检查物资、应急设施、设备等，确保正常使用。</w:t>
      </w:r>
    </w:p>
    <w:p w14:paraId="4BC083FA">
      <w:pPr>
        <w:autoSpaceDE w:val="0"/>
        <w:autoSpaceDN w:val="0"/>
        <w:adjustRightInd w:val="0"/>
        <w:spacing w:line="560" w:lineRule="exact"/>
        <w:ind w:firstLine="624"/>
        <w:jc w:val="left"/>
        <w:rPr>
          <w:rFonts w:ascii="Times New Roman" w:hAnsi="Times New Roman" w:eastAsia="仿宋_GB2312"/>
          <w:kern w:val="0"/>
          <w:sz w:val="32"/>
          <w:szCs w:val="32"/>
        </w:rPr>
      </w:pPr>
      <w:r>
        <w:rPr>
          <w:rFonts w:ascii="Times New Roman" w:hAnsi="Times New Roman" w:eastAsia="仿宋_GB2312"/>
          <w:kern w:val="0"/>
          <w:sz w:val="32"/>
          <w:szCs w:val="32"/>
        </w:rPr>
        <w:t>学校、医院、商场、酒店等人员密集场所要设置地震应急疏散通道，配备必要的救生避险设施，保证通道、出口的畅通。有关单位定期检测、维护报警装置和应急救援设施，确保正常使用。</w:t>
      </w:r>
    </w:p>
    <w:p w14:paraId="3A5EB62B">
      <w:pPr>
        <w:autoSpaceDE w:val="0"/>
        <w:autoSpaceDN w:val="0"/>
        <w:adjustRightInd w:val="0"/>
        <w:spacing w:line="560" w:lineRule="exact"/>
        <w:ind w:firstLine="624"/>
        <w:jc w:val="left"/>
        <w:rPr>
          <w:rFonts w:ascii="Times New Roman" w:hAnsi="Times New Roman" w:eastAsia="楷体_GB2312"/>
          <w:kern w:val="0"/>
          <w:sz w:val="32"/>
          <w:szCs w:val="32"/>
        </w:rPr>
      </w:pPr>
      <w:r>
        <w:rPr>
          <w:rFonts w:ascii="Times New Roman" w:hAnsi="Times New Roman" w:eastAsia="楷体_GB2312"/>
          <w:kern w:val="0"/>
          <w:sz w:val="32"/>
          <w:szCs w:val="32"/>
        </w:rPr>
        <w:t>开发区地震应急避难场所统计表</w:t>
      </w:r>
    </w:p>
    <w:tbl>
      <w:tblPr>
        <w:tblStyle w:val="23"/>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126"/>
        <w:gridCol w:w="1445"/>
        <w:gridCol w:w="965"/>
        <w:gridCol w:w="1983"/>
        <w:gridCol w:w="1474"/>
      </w:tblGrid>
      <w:tr w14:paraId="1270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51" w:type="dxa"/>
            <w:vAlign w:val="center"/>
          </w:tcPr>
          <w:p w14:paraId="174DA514">
            <w:pPr>
              <w:autoSpaceDE w:val="0"/>
              <w:autoSpaceDN w:val="0"/>
              <w:adjustRightInd w:val="0"/>
              <w:spacing w:line="340" w:lineRule="exact"/>
              <w:jc w:val="center"/>
              <w:rPr>
                <w:rFonts w:ascii="Times New Roman" w:hAnsi="Times New Roman" w:eastAsia="黑体"/>
                <w:kern w:val="0"/>
                <w:sz w:val="28"/>
                <w:szCs w:val="28"/>
              </w:rPr>
            </w:pPr>
            <w:r>
              <w:rPr>
                <w:rFonts w:ascii="Times New Roman" w:hAnsi="Times New Roman" w:eastAsia="黑体"/>
                <w:kern w:val="0"/>
                <w:sz w:val="28"/>
                <w:szCs w:val="28"/>
              </w:rPr>
              <w:t>序号</w:t>
            </w:r>
          </w:p>
        </w:tc>
        <w:tc>
          <w:tcPr>
            <w:tcW w:w="2126" w:type="dxa"/>
            <w:vAlign w:val="center"/>
          </w:tcPr>
          <w:p w14:paraId="3DDB8462">
            <w:pPr>
              <w:autoSpaceDE w:val="0"/>
              <w:autoSpaceDN w:val="0"/>
              <w:adjustRightInd w:val="0"/>
              <w:spacing w:line="340" w:lineRule="exact"/>
              <w:jc w:val="center"/>
              <w:rPr>
                <w:rFonts w:ascii="Times New Roman" w:hAnsi="Times New Roman" w:eastAsia="黑体"/>
                <w:kern w:val="0"/>
                <w:sz w:val="28"/>
                <w:szCs w:val="28"/>
              </w:rPr>
            </w:pPr>
            <w:r>
              <w:rPr>
                <w:rFonts w:ascii="Times New Roman" w:hAnsi="Times New Roman" w:eastAsia="黑体"/>
                <w:kern w:val="0"/>
                <w:sz w:val="28"/>
                <w:szCs w:val="28"/>
              </w:rPr>
              <w:t>应急避难场所名称</w:t>
            </w:r>
          </w:p>
        </w:tc>
        <w:tc>
          <w:tcPr>
            <w:tcW w:w="1445" w:type="dxa"/>
            <w:vAlign w:val="center"/>
          </w:tcPr>
          <w:p w14:paraId="6A4D913F">
            <w:pPr>
              <w:autoSpaceDE w:val="0"/>
              <w:autoSpaceDN w:val="0"/>
              <w:adjustRightInd w:val="0"/>
              <w:spacing w:line="340" w:lineRule="exact"/>
              <w:jc w:val="center"/>
              <w:rPr>
                <w:rFonts w:ascii="Times New Roman" w:hAnsi="Times New Roman" w:eastAsia="黑体"/>
                <w:w w:val="95"/>
                <w:kern w:val="0"/>
                <w:sz w:val="28"/>
                <w:szCs w:val="28"/>
              </w:rPr>
            </w:pPr>
            <w:r>
              <w:rPr>
                <w:rFonts w:ascii="Times New Roman" w:hAnsi="Times New Roman" w:eastAsia="黑体"/>
                <w:w w:val="95"/>
                <w:kern w:val="0"/>
                <w:sz w:val="28"/>
                <w:szCs w:val="28"/>
              </w:rPr>
              <w:t>项目</w:t>
            </w:r>
          </w:p>
          <w:p w14:paraId="7C08FB32">
            <w:pPr>
              <w:autoSpaceDE w:val="0"/>
              <w:autoSpaceDN w:val="0"/>
              <w:adjustRightInd w:val="0"/>
              <w:spacing w:line="340" w:lineRule="exact"/>
              <w:jc w:val="center"/>
              <w:rPr>
                <w:rFonts w:ascii="Times New Roman" w:hAnsi="Times New Roman" w:eastAsia="黑体"/>
                <w:w w:val="95"/>
                <w:kern w:val="0"/>
                <w:sz w:val="28"/>
                <w:szCs w:val="28"/>
              </w:rPr>
            </w:pPr>
            <w:r>
              <w:rPr>
                <w:rFonts w:ascii="Times New Roman" w:hAnsi="Times New Roman" w:eastAsia="黑体"/>
                <w:w w:val="95"/>
                <w:kern w:val="0"/>
                <w:sz w:val="28"/>
                <w:szCs w:val="28"/>
              </w:rPr>
              <w:t>位置</w:t>
            </w:r>
          </w:p>
        </w:tc>
        <w:tc>
          <w:tcPr>
            <w:tcW w:w="965" w:type="dxa"/>
            <w:vAlign w:val="center"/>
          </w:tcPr>
          <w:p w14:paraId="1584501D">
            <w:pPr>
              <w:autoSpaceDE w:val="0"/>
              <w:autoSpaceDN w:val="0"/>
              <w:adjustRightInd w:val="0"/>
              <w:spacing w:line="340" w:lineRule="exact"/>
              <w:jc w:val="center"/>
              <w:rPr>
                <w:rFonts w:ascii="Times New Roman" w:hAnsi="Times New Roman" w:eastAsia="黑体"/>
                <w:kern w:val="0"/>
                <w:sz w:val="28"/>
                <w:szCs w:val="28"/>
              </w:rPr>
            </w:pPr>
            <w:r>
              <w:rPr>
                <w:rFonts w:ascii="Times New Roman" w:hAnsi="Times New Roman" w:eastAsia="黑体"/>
                <w:kern w:val="0"/>
                <w:sz w:val="28"/>
                <w:szCs w:val="28"/>
              </w:rPr>
              <w:t>类别</w:t>
            </w:r>
          </w:p>
        </w:tc>
        <w:tc>
          <w:tcPr>
            <w:tcW w:w="1983" w:type="dxa"/>
            <w:vAlign w:val="center"/>
          </w:tcPr>
          <w:p w14:paraId="0D54EEB6">
            <w:pPr>
              <w:autoSpaceDE w:val="0"/>
              <w:autoSpaceDN w:val="0"/>
              <w:adjustRightInd w:val="0"/>
              <w:spacing w:line="340" w:lineRule="exact"/>
              <w:jc w:val="center"/>
              <w:rPr>
                <w:rFonts w:ascii="Times New Roman" w:hAnsi="Times New Roman" w:eastAsia="黑体"/>
                <w:kern w:val="0"/>
                <w:sz w:val="28"/>
                <w:szCs w:val="28"/>
              </w:rPr>
            </w:pPr>
            <w:r>
              <w:rPr>
                <w:rFonts w:ascii="Times New Roman" w:hAnsi="Times New Roman" w:eastAsia="黑体"/>
                <w:kern w:val="0"/>
                <w:sz w:val="28"/>
                <w:szCs w:val="28"/>
              </w:rPr>
              <w:t>有效避难面积（万m</w:t>
            </w:r>
            <w:r>
              <w:rPr>
                <w:rFonts w:ascii="Times New Roman" w:hAnsi="Times New Roman" w:eastAsia="黑体"/>
                <w:kern w:val="0"/>
                <w:sz w:val="28"/>
                <w:szCs w:val="28"/>
                <w:vertAlign w:val="superscript"/>
              </w:rPr>
              <w:t>3</w:t>
            </w:r>
            <w:r>
              <w:rPr>
                <w:rFonts w:ascii="Times New Roman" w:hAnsi="Times New Roman" w:eastAsia="黑体"/>
                <w:kern w:val="0"/>
                <w:sz w:val="28"/>
                <w:szCs w:val="28"/>
              </w:rPr>
              <w:t>）</w:t>
            </w:r>
          </w:p>
        </w:tc>
        <w:tc>
          <w:tcPr>
            <w:tcW w:w="1474" w:type="dxa"/>
            <w:vAlign w:val="center"/>
          </w:tcPr>
          <w:p w14:paraId="2E08B297">
            <w:pPr>
              <w:autoSpaceDE w:val="0"/>
              <w:autoSpaceDN w:val="0"/>
              <w:adjustRightInd w:val="0"/>
              <w:spacing w:line="340" w:lineRule="exact"/>
              <w:jc w:val="center"/>
              <w:rPr>
                <w:rFonts w:ascii="Times New Roman" w:hAnsi="Times New Roman" w:eastAsia="黑体"/>
                <w:kern w:val="0"/>
                <w:sz w:val="28"/>
                <w:szCs w:val="28"/>
              </w:rPr>
            </w:pPr>
            <w:r>
              <w:rPr>
                <w:rFonts w:ascii="Times New Roman" w:hAnsi="Times New Roman" w:eastAsia="黑体"/>
                <w:kern w:val="0"/>
                <w:sz w:val="28"/>
                <w:szCs w:val="28"/>
              </w:rPr>
              <w:t>避难人数（万人）</w:t>
            </w:r>
          </w:p>
        </w:tc>
      </w:tr>
      <w:tr w14:paraId="1BFF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851" w:type="dxa"/>
            <w:vAlign w:val="center"/>
          </w:tcPr>
          <w:p w14:paraId="630EA318">
            <w:pPr>
              <w:autoSpaceDE w:val="0"/>
              <w:autoSpaceDN w:val="0"/>
              <w:adjustRightInd w:val="0"/>
              <w:spacing w:line="3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1</w:t>
            </w:r>
          </w:p>
        </w:tc>
        <w:tc>
          <w:tcPr>
            <w:tcW w:w="2126" w:type="dxa"/>
            <w:vAlign w:val="center"/>
          </w:tcPr>
          <w:p w14:paraId="6C38AFCF">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昌圩湖绿园</w:t>
            </w:r>
          </w:p>
        </w:tc>
        <w:tc>
          <w:tcPr>
            <w:tcW w:w="1445" w:type="dxa"/>
            <w:vAlign w:val="center"/>
          </w:tcPr>
          <w:p w14:paraId="03659584">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开发区昌圩湖绿园</w:t>
            </w:r>
          </w:p>
        </w:tc>
        <w:tc>
          <w:tcPr>
            <w:tcW w:w="965" w:type="dxa"/>
            <w:vAlign w:val="center"/>
          </w:tcPr>
          <w:p w14:paraId="7228AAB4">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固定</w:t>
            </w:r>
          </w:p>
        </w:tc>
        <w:tc>
          <w:tcPr>
            <w:tcW w:w="1983" w:type="dxa"/>
            <w:vAlign w:val="center"/>
          </w:tcPr>
          <w:p w14:paraId="4B69BD40">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1.5</w:t>
            </w:r>
          </w:p>
        </w:tc>
        <w:tc>
          <w:tcPr>
            <w:tcW w:w="1474" w:type="dxa"/>
            <w:vAlign w:val="center"/>
          </w:tcPr>
          <w:p w14:paraId="2DC497F9">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0.5</w:t>
            </w:r>
          </w:p>
        </w:tc>
      </w:tr>
      <w:tr w14:paraId="705C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851" w:type="dxa"/>
            <w:vAlign w:val="center"/>
          </w:tcPr>
          <w:p w14:paraId="3B0195D8">
            <w:pPr>
              <w:autoSpaceDE w:val="0"/>
              <w:autoSpaceDN w:val="0"/>
              <w:adjustRightInd w:val="0"/>
              <w:spacing w:line="3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2</w:t>
            </w:r>
          </w:p>
        </w:tc>
        <w:tc>
          <w:tcPr>
            <w:tcW w:w="2126" w:type="dxa"/>
            <w:vAlign w:val="center"/>
          </w:tcPr>
          <w:p w14:paraId="4500F368">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开发区高级中学固定避难场所</w:t>
            </w:r>
          </w:p>
        </w:tc>
        <w:tc>
          <w:tcPr>
            <w:tcW w:w="1445" w:type="dxa"/>
            <w:vAlign w:val="center"/>
          </w:tcPr>
          <w:p w14:paraId="5743F6E5">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开发区高级中学</w:t>
            </w:r>
          </w:p>
        </w:tc>
        <w:tc>
          <w:tcPr>
            <w:tcW w:w="965" w:type="dxa"/>
            <w:vAlign w:val="center"/>
          </w:tcPr>
          <w:p w14:paraId="76BBA792">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固定</w:t>
            </w:r>
          </w:p>
        </w:tc>
        <w:tc>
          <w:tcPr>
            <w:tcW w:w="1983" w:type="dxa"/>
            <w:vAlign w:val="center"/>
          </w:tcPr>
          <w:p w14:paraId="1B9EF2F6">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2.8</w:t>
            </w:r>
          </w:p>
        </w:tc>
        <w:tc>
          <w:tcPr>
            <w:tcW w:w="1474" w:type="dxa"/>
            <w:vAlign w:val="center"/>
          </w:tcPr>
          <w:p w14:paraId="7BAB7337">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0.5</w:t>
            </w:r>
          </w:p>
        </w:tc>
      </w:tr>
      <w:tr w14:paraId="15DF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851" w:type="dxa"/>
            <w:vAlign w:val="center"/>
          </w:tcPr>
          <w:p w14:paraId="434C7D43">
            <w:pPr>
              <w:autoSpaceDE w:val="0"/>
              <w:autoSpaceDN w:val="0"/>
              <w:adjustRightInd w:val="0"/>
              <w:spacing w:line="3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3</w:t>
            </w:r>
          </w:p>
        </w:tc>
        <w:tc>
          <w:tcPr>
            <w:tcW w:w="2126" w:type="dxa"/>
            <w:vAlign w:val="center"/>
          </w:tcPr>
          <w:p w14:paraId="0BD212EA">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开发区中心避难场所</w:t>
            </w:r>
          </w:p>
        </w:tc>
        <w:tc>
          <w:tcPr>
            <w:tcW w:w="1445" w:type="dxa"/>
            <w:vAlign w:val="center"/>
          </w:tcPr>
          <w:p w14:paraId="6F1F03E6">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开发区创智绿园及工业展览中心</w:t>
            </w:r>
          </w:p>
        </w:tc>
        <w:tc>
          <w:tcPr>
            <w:tcW w:w="965" w:type="dxa"/>
            <w:vAlign w:val="center"/>
          </w:tcPr>
          <w:p w14:paraId="00E8297C">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中心</w:t>
            </w:r>
          </w:p>
        </w:tc>
        <w:tc>
          <w:tcPr>
            <w:tcW w:w="1983" w:type="dxa"/>
            <w:vAlign w:val="center"/>
          </w:tcPr>
          <w:p w14:paraId="704C70BE">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12.8</w:t>
            </w:r>
          </w:p>
        </w:tc>
        <w:tc>
          <w:tcPr>
            <w:tcW w:w="1474" w:type="dxa"/>
            <w:vAlign w:val="center"/>
          </w:tcPr>
          <w:p w14:paraId="136A885C">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0.7</w:t>
            </w:r>
          </w:p>
        </w:tc>
      </w:tr>
      <w:tr w14:paraId="5EAE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844" w:type="dxa"/>
            <w:gridSpan w:val="6"/>
            <w:vAlign w:val="center"/>
          </w:tcPr>
          <w:p w14:paraId="7FCD1354">
            <w:pPr>
              <w:autoSpaceDE w:val="0"/>
              <w:autoSpaceDN w:val="0"/>
              <w:adjustRightInd w:val="0"/>
              <w:spacing w:line="300" w:lineRule="exact"/>
              <w:ind w:right="105" w:rightChars="50"/>
              <w:jc w:val="left"/>
              <w:rPr>
                <w:rFonts w:ascii="Times New Roman" w:hAnsi="Times New Roman" w:eastAsia="仿宋_GB2312"/>
                <w:kern w:val="0"/>
                <w:sz w:val="28"/>
                <w:szCs w:val="28"/>
              </w:rPr>
            </w:pPr>
            <w:r>
              <w:rPr>
                <w:rFonts w:ascii="Times New Roman" w:hAnsi="Times New Roman" w:eastAsia="仿宋_GB2312"/>
                <w:kern w:val="0"/>
                <w:sz w:val="28"/>
                <w:szCs w:val="28"/>
              </w:rPr>
              <w:t>说明：表中3处防灾避难场所为已建成的有相对完善防灾设施的避难场所。</w:t>
            </w:r>
          </w:p>
        </w:tc>
      </w:tr>
    </w:tbl>
    <w:p w14:paraId="543D2185">
      <w:pPr>
        <w:autoSpaceDE w:val="0"/>
        <w:autoSpaceDN w:val="0"/>
        <w:adjustRightInd w:val="0"/>
        <w:spacing w:line="560" w:lineRule="exact"/>
        <w:ind w:firstLine="624"/>
        <w:rPr>
          <w:rFonts w:ascii="Times New Roman" w:hAnsi="Times New Roman" w:eastAsia="楷体_GB2312"/>
          <w:kern w:val="0"/>
          <w:sz w:val="32"/>
          <w:szCs w:val="32"/>
        </w:rPr>
      </w:pPr>
      <w:r>
        <w:rPr>
          <w:rFonts w:ascii="Times New Roman" w:hAnsi="Times New Roman" w:eastAsia="楷体_GB2312"/>
          <w:kern w:val="0"/>
          <w:sz w:val="32"/>
          <w:szCs w:val="32"/>
        </w:rPr>
        <w:t>8.5  基础设施</w:t>
      </w:r>
    </w:p>
    <w:p w14:paraId="7C958125">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开发区住建局组织协调各基础电信运营企业、铁塔公司，做好地震应急救援过程中公用通信网通信保障工作。</w:t>
      </w:r>
    </w:p>
    <w:p w14:paraId="35D6728A">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开发区社会事业局完善广播电视传输覆盖网，建立完善全区应急广播体系，确保政府发布的权威信息及时准确地传输覆盖到目标地区。</w:t>
      </w:r>
    </w:p>
    <w:p w14:paraId="7CD9F7CF">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连云港供电公司加强电力基础设施、电力调度系统建设，保障地震现场应急装备的临时供电需求和灾区电力供应。</w:t>
      </w:r>
    </w:p>
    <w:p w14:paraId="3B4C2A59">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开发区公安局协调建立道路紧急运输保障体系，加强统一指挥调度，采取必要的交通管制措施，建立应急救援“绿色通道”机制。</w:t>
      </w:r>
    </w:p>
    <w:p w14:paraId="6F95A4F7">
      <w:pPr>
        <w:autoSpaceDE w:val="0"/>
        <w:autoSpaceDN w:val="0"/>
        <w:adjustRightInd w:val="0"/>
        <w:spacing w:line="560" w:lineRule="exact"/>
        <w:ind w:firstLine="624"/>
        <w:rPr>
          <w:rFonts w:ascii="Times New Roman" w:hAnsi="Times New Roman" w:eastAsia="楷体_GB2312"/>
          <w:kern w:val="0"/>
          <w:sz w:val="32"/>
          <w:szCs w:val="32"/>
        </w:rPr>
      </w:pPr>
      <w:r>
        <w:rPr>
          <w:rFonts w:ascii="Times New Roman" w:hAnsi="Times New Roman" w:eastAsia="楷体_GB2312"/>
          <w:kern w:val="0"/>
          <w:sz w:val="32"/>
          <w:szCs w:val="32"/>
        </w:rPr>
        <w:t>8.6  宣传、培训与演练</w:t>
      </w:r>
    </w:p>
    <w:p w14:paraId="38292146">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开发区管委会利用“5.12国家减灾日”等纪念日组织开展防震减灾科学、法律知识普及和宣传教育。把防震减灾知识教育纳入国民素质教育体系及中小学公共安全教学纲要，纳入各级领导干部和公务员培训教育内容，推动防震减灾科普示范学校和教育基地等建设，提高全社会防震减灾意识和应对地震灾害的能力。</w:t>
      </w:r>
    </w:p>
    <w:p w14:paraId="04C6845D">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开发区管委会建立健全地震应急管理培训制度，结合本地区实际，组织应急管理人员、救援人员、志愿者等进行地震应急知识和技能培训。</w:t>
      </w:r>
    </w:p>
    <w:p w14:paraId="3FA11BDB">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开发区管委会结合本地区实际，组织应急管理人员、救援人员、志愿者等进行地震应急知识和技能培训，提高地震应急处置能力和水平。</w:t>
      </w:r>
    </w:p>
    <w:p w14:paraId="730C48E2">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开发区管委会及各有关部门、单位要制定演练计划并定期组织开展地震应急演练，协调整合各种应急救援力量，根据各自的实际情况开展不同形式的地震应急演习，切实提高应急救援能力。</w:t>
      </w:r>
    </w:p>
    <w:p w14:paraId="5BC16A5A">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9  附则</w:t>
      </w:r>
    </w:p>
    <w:p w14:paraId="04C66CC5">
      <w:pPr>
        <w:autoSpaceDE w:val="0"/>
        <w:autoSpaceDN w:val="0"/>
        <w:snapToGrid w:val="0"/>
        <w:spacing w:line="560" w:lineRule="exact"/>
        <w:ind w:firstLine="624"/>
        <w:rPr>
          <w:rFonts w:ascii="Times New Roman" w:hAnsi="Times New Roman" w:eastAsia="楷体_GB2312"/>
          <w:snapToGrid w:val="0"/>
          <w:sz w:val="32"/>
          <w:szCs w:val="32"/>
        </w:rPr>
      </w:pPr>
      <w:r>
        <w:rPr>
          <w:rFonts w:ascii="Times New Roman" w:hAnsi="Times New Roman" w:eastAsia="楷体_GB2312"/>
          <w:snapToGrid w:val="0"/>
          <w:sz w:val="32"/>
          <w:szCs w:val="32"/>
        </w:rPr>
        <w:t>9.1  奖励与责任</w:t>
      </w:r>
    </w:p>
    <w:p w14:paraId="3629DDD7">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对在抗震救灾工作中做出突出贡献的先进集体和个人，按照有关规定给予表彰和奖励；对在抗震救灾工作中玩忽职守造成损失的，严重虚报、瞒报灾情的，依据国家有关法律法规追究当事人的责任，构成犯罪的，依法追究其刑事责任。</w:t>
      </w:r>
    </w:p>
    <w:p w14:paraId="2FEF55FD">
      <w:pPr>
        <w:autoSpaceDE w:val="0"/>
        <w:autoSpaceDN w:val="0"/>
        <w:adjustRightInd w:val="0"/>
        <w:spacing w:line="560" w:lineRule="exact"/>
        <w:ind w:firstLine="624"/>
        <w:rPr>
          <w:rFonts w:ascii="Times New Roman" w:hAnsi="Times New Roman" w:eastAsia="楷体_GB2312"/>
          <w:kern w:val="0"/>
          <w:sz w:val="32"/>
          <w:szCs w:val="32"/>
        </w:rPr>
      </w:pPr>
      <w:r>
        <w:rPr>
          <w:rFonts w:ascii="Times New Roman" w:hAnsi="Times New Roman" w:eastAsia="楷体_GB2312"/>
          <w:kern w:val="0"/>
          <w:sz w:val="32"/>
          <w:szCs w:val="32"/>
        </w:rPr>
        <w:t>9.2  预案管理与更新</w:t>
      </w:r>
    </w:p>
    <w:p w14:paraId="57CF3DCD">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开发区应急管理局会同开发区住建局等有关部门制订本预案，报开发区管委会批准后发布实施，会同有关部门组织预案宣传、培训和演练，并根据实际情况，适时组织修订完善。</w:t>
      </w:r>
    </w:p>
    <w:p w14:paraId="7B9C16F8">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国家和省、连云港市地震应急预案规定，本预案由连云港经济技术开发区管委会批准发布，并报连云港市应急管理部门备案，日常管理工作由区应急管理局承担。开发区各有关部门和单位根据本预案制定本部门（单位）地震应急预案，报开发区管委会和开发区应急管理局备案。</w:t>
      </w:r>
    </w:p>
    <w:p w14:paraId="75443843">
      <w:pPr>
        <w:autoSpaceDE w:val="0"/>
        <w:autoSpaceDN w:val="0"/>
        <w:adjustRightInd w:val="0"/>
        <w:spacing w:line="560" w:lineRule="exact"/>
        <w:ind w:firstLine="624"/>
        <w:rPr>
          <w:rFonts w:ascii="Times New Roman" w:hAnsi="Times New Roman" w:eastAsia="楷体_GB2312"/>
          <w:kern w:val="0"/>
          <w:sz w:val="32"/>
          <w:szCs w:val="32"/>
        </w:rPr>
      </w:pPr>
      <w:r>
        <w:rPr>
          <w:rFonts w:ascii="Times New Roman" w:hAnsi="Times New Roman" w:eastAsia="楷体_GB2312"/>
          <w:kern w:val="0"/>
          <w:sz w:val="32"/>
          <w:szCs w:val="32"/>
        </w:rPr>
        <w:t>9.3  以上、以下的含义</w:t>
      </w:r>
    </w:p>
    <w:p w14:paraId="636DDAEC">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本预案所称以上包括本数，以下不包括本数。</w:t>
      </w:r>
    </w:p>
    <w:p w14:paraId="21E6EFFD">
      <w:pPr>
        <w:autoSpaceDE w:val="0"/>
        <w:autoSpaceDN w:val="0"/>
        <w:adjustRightInd w:val="0"/>
        <w:spacing w:line="560" w:lineRule="exact"/>
        <w:ind w:firstLine="624"/>
        <w:rPr>
          <w:rFonts w:ascii="Times New Roman" w:hAnsi="Times New Roman" w:eastAsia="楷体_GB2312"/>
          <w:kern w:val="0"/>
          <w:sz w:val="32"/>
          <w:szCs w:val="32"/>
        </w:rPr>
      </w:pPr>
      <w:r>
        <w:rPr>
          <w:rFonts w:ascii="Times New Roman" w:hAnsi="Times New Roman" w:eastAsia="楷体_GB2312"/>
          <w:kern w:val="0"/>
          <w:sz w:val="32"/>
          <w:szCs w:val="32"/>
        </w:rPr>
        <w:t>9.4  预案解释</w:t>
      </w:r>
    </w:p>
    <w:p w14:paraId="0420DFF1">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本预案由开发区应急管理局负责解释。</w:t>
      </w:r>
    </w:p>
    <w:p w14:paraId="26E56FE9">
      <w:pPr>
        <w:autoSpaceDE w:val="0"/>
        <w:autoSpaceDN w:val="0"/>
        <w:adjustRightInd w:val="0"/>
        <w:spacing w:line="560" w:lineRule="exact"/>
        <w:ind w:firstLine="624"/>
        <w:rPr>
          <w:rFonts w:ascii="Times New Roman" w:hAnsi="Times New Roman" w:eastAsia="楷体_GB2312"/>
          <w:kern w:val="0"/>
          <w:sz w:val="32"/>
          <w:szCs w:val="32"/>
        </w:rPr>
      </w:pPr>
      <w:r>
        <w:rPr>
          <w:rFonts w:ascii="Times New Roman" w:hAnsi="Times New Roman" w:eastAsia="楷体_GB2312"/>
          <w:kern w:val="0"/>
          <w:sz w:val="32"/>
          <w:szCs w:val="32"/>
        </w:rPr>
        <w:t>9.5  预案实施时间</w:t>
      </w:r>
    </w:p>
    <w:p w14:paraId="28D25B50">
      <w:pPr>
        <w:autoSpaceDE w:val="0"/>
        <w:autoSpaceDN w:val="0"/>
        <w:adjustRightInd w:val="0"/>
        <w:spacing w:line="560" w:lineRule="exact"/>
        <w:ind w:firstLine="624"/>
        <w:rPr>
          <w:rFonts w:ascii="Times New Roman" w:hAnsi="Times New Roman" w:eastAsia="仿宋_GB2312"/>
          <w:kern w:val="0"/>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5" w:left="1588" w:header="851" w:footer="1588" w:gutter="0"/>
          <w:cols w:space="0" w:num="1"/>
          <w:docGrid w:linePitch="319" w:charSpace="0"/>
        </w:sectPr>
      </w:pPr>
      <w:r>
        <w:rPr>
          <w:rFonts w:ascii="Times New Roman" w:hAnsi="Times New Roman" w:eastAsia="仿宋_GB2312"/>
          <w:kern w:val="0"/>
          <w:sz w:val="32"/>
          <w:szCs w:val="32"/>
        </w:rPr>
        <w:t>本预案自印发之日起施行。</w:t>
      </w:r>
    </w:p>
    <w:p w14:paraId="29F09BC1">
      <w:pPr>
        <w:spacing w:line="590" w:lineRule="exact"/>
        <w:jc w:val="center"/>
        <w:rPr>
          <w:rFonts w:ascii="Times New Roman" w:hAnsi="Times New Roman" w:eastAsia="方正小标宋_GBK"/>
          <w:bCs/>
          <w:color w:val="000000"/>
          <w:sz w:val="44"/>
          <w:szCs w:val="44"/>
        </w:rPr>
      </w:pPr>
      <w:r>
        <w:rPr>
          <w:rFonts w:ascii="Times New Roman" w:hAnsi="Times New Roman" w:eastAsia="方正小标宋_GBK"/>
          <w:bCs/>
          <w:color w:val="000000"/>
          <w:sz w:val="44"/>
          <w:szCs w:val="44"/>
        </w:rPr>
        <w:t>连云港经济技术开发区重特大火灾</w:t>
      </w:r>
    </w:p>
    <w:p w14:paraId="4A0D58B6">
      <w:pPr>
        <w:spacing w:line="590" w:lineRule="exact"/>
        <w:jc w:val="center"/>
        <w:rPr>
          <w:rFonts w:ascii="Times New Roman" w:hAnsi="Times New Roman" w:eastAsia="宋体"/>
          <w:color w:val="000000"/>
          <w:sz w:val="44"/>
          <w:szCs w:val="44"/>
        </w:rPr>
      </w:pPr>
      <w:r>
        <w:rPr>
          <w:rFonts w:ascii="Times New Roman" w:hAnsi="Times New Roman" w:eastAsia="方正小标宋_GBK"/>
          <w:bCs/>
          <w:color w:val="000000"/>
          <w:sz w:val="44"/>
          <w:szCs w:val="44"/>
        </w:rPr>
        <w:t>灭火救援应急预案</w:t>
      </w:r>
    </w:p>
    <w:p w14:paraId="723683AA">
      <w:pPr>
        <w:spacing w:line="590" w:lineRule="exact"/>
        <w:jc w:val="center"/>
        <w:rPr>
          <w:rFonts w:ascii="Times New Roman" w:hAnsi="Times New Roman" w:eastAsia="宋体"/>
          <w:color w:val="000000"/>
          <w:sz w:val="36"/>
          <w:szCs w:val="36"/>
        </w:rPr>
      </w:pPr>
    </w:p>
    <w:p w14:paraId="7A8B3CBF">
      <w:pPr>
        <w:spacing w:line="590" w:lineRule="exact"/>
        <w:jc w:val="center"/>
        <w:rPr>
          <w:rFonts w:ascii="Times New Roman" w:hAnsi="Times New Roman" w:eastAsia="黑体"/>
          <w:color w:val="000000"/>
          <w:sz w:val="36"/>
          <w:szCs w:val="36"/>
        </w:rPr>
      </w:pPr>
      <w:r>
        <w:rPr>
          <w:rFonts w:ascii="Times New Roman" w:hAnsi="Times New Roman" w:eastAsia="黑体"/>
          <w:color w:val="000000"/>
          <w:sz w:val="36"/>
          <w:szCs w:val="36"/>
        </w:rPr>
        <w:t>前言</w:t>
      </w:r>
    </w:p>
    <w:p w14:paraId="7F4B4F57">
      <w:pPr>
        <w:spacing w:line="590" w:lineRule="exact"/>
        <w:ind w:firstLine="480" w:firstLineChars="150"/>
        <w:rPr>
          <w:rFonts w:ascii="Times New Roman" w:hAnsi="Times New Roman" w:eastAsia="仿宋_GB2312"/>
          <w:color w:val="000000"/>
          <w:sz w:val="32"/>
          <w:szCs w:val="32"/>
        </w:rPr>
      </w:pPr>
      <w:r>
        <w:rPr>
          <w:rFonts w:ascii="Times New Roman" w:hAnsi="Times New Roman" w:eastAsia="仿宋_GB2312"/>
          <w:color w:val="000000"/>
          <w:sz w:val="32"/>
          <w:szCs w:val="32"/>
        </w:rPr>
        <w:t>《连云港经济开发区重特大火灾灭火救援应急预案》是突发公共事件总体预案中的专项应急预案之一。该预案以《中华人民共和国消防法》、《中华人民共和国突发事件应对法》、《国家突发公共事件总体应急预案》为主要依据，按照江苏省人民政府下发的突发公共事件专项应急预案框架指南，针对我区火灾处置工作特点，本着以人为本、分级负责、资源整合和平战结合的原则编制，适用于重特大火灾及抢险救援事故的应急处置工作。</w:t>
      </w:r>
    </w:p>
    <w:p w14:paraId="4AF748EA">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本预案明确了重特大火灾和抢险救援事故的应急组织机构、指挥体系及各部门的工作职责，并对火灾和抢险救援事故的后期处置工作以及实施本预案的保障措施作了明确规定，各级人民政府要把实施本预案，作为贯彻落实“科学发展观”重要思想全面履行政府职能，建设法治政府的一项迫切任务，切实抓紧抓好。将根据火灾及抢险救援应急工作情况的变化，及时对本预案进行修订，使之不断完善。</w:t>
      </w:r>
    </w:p>
    <w:p w14:paraId="41B75482">
      <w:pPr>
        <w:spacing w:line="59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1  总则</w:t>
      </w:r>
    </w:p>
    <w:p w14:paraId="401E6FB2">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1.1 目的</w:t>
      </w:r>
    </w:p>
    <w:p w14:paraId="60C23D57">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为提高应对重特大火灾及抢险救援事故的快速反应能力，全面加强实施应急灭火救援的各项准备工作，确保一旦发生重特大火灾及抢险救援事故，迅速联动社会灭火救援力量，整合社会救援资源，发挥各职能部门的优势，及时、高效、有序地控制灾情发展，最大限度地减少灾害造成的损失和人员伤亡，维护社会稳定，特制定本预案。</w:t>
      </w:r>
    </w:p>
    <w:p w14:paraId="41925C90">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1.2  工作原则</w:t>
      </w:r>
    </w:p>
    <w:p w14:paraId="0BE7B261">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1.2.1  统一领导，分级负责</w:t>
      </w:r>
    </w:p>
    <w:p w14:paraId="7ED5F600">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重特大火灾及抢险救援事故的应急处置工作在各级人民政府统一领导下进行。区重特大火灾及抢险救援事故的应急处置由开发区管委会负责。</w:t>
      </w:r>
    </w:p>
    <w:p w14:paraId="135A387B">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1.2.2  明确职责，专群结合</w:t>
      </w:r>
    </w:p>
    <w:p w14:paraId="48CFC509">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国家性综合消防救援队伍是一支准军事化、准现役的队伍，自改革转隶以来，不断改善装备水平，提高队伍素质，增强整体作战能力，确保一旦发生重特大火灾及抢险救援事故能迅速有效进行扑救处置。各应急联动保障单位要为应急灭火救援提供充分有效的保障。要充分发挥义务志愿消防队伍的作用，不断加强灭火救援力量。公民、法人和其他组织应当自觉遵守消防法律法规，增强消防安全意识，掌握防火、灭火和逃生自救、互救的基本知识。积极检举消防违法行为，积极报告火警，积极配合参与重特大火灾及抢险救援应急灭火救援行动，自觉服从事故现场指挥部的统一组织指挥。</w:t>
      </w:r>
    </w:p>
    <w:p w14:paraId="3327B8B7">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1.2.3  加强协调，整合资源</w:t>
      </w:r>
    </w:p>
    <w:p w14:paraId="3B769A08">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灭火救援应急联动部门，应密切协作，形成合力，并充分发挥社会灭火救援资源优势，确保快速高效地实施本预案。</w:t>
      </w:r>
    </w:p>
    <w:p w14:paraId="0ED6A97C">
      <w:pPr>
        <w:spacing w:line="590" w:lineRule="exact"/>
        <w:ind w:firstLine="640" w:firstLineChars="200"/>
        <w:rPr>
          <w:rFonts w:ascii="Times New Roman" w:hAnsi="Times New Roman" w:eastAsia="仿宋_GB2312"/>
          <w:color w:val="000000"/>
          <w:sz w:val="32"/>
          <w:szCs w:val="32"/>
        </w:rPr>
      </w:pPr>
      <w:r>
        <w:rPr>
          <w:rFonts w:ascii="Times New Roman" w:hAnsi="Times New Roman" w:eastAsia="楷体_GB2312"/>
          <w:color w:val="000000"/>
          <w:sz w:val="32"/>
          <w:szCs w:val="32"/>
        </w:rPr>
        <w:t>1.3  编制依据</w:t>
      </w:r>
      <w:r>
        <w:rPr>
          <w:rFonts w:ascii="Times New Roman" w:hAnsi="Times New Roman" w:eastAsia="楷体_GB2312"/>
          <w:color w:val="000000"/>
          <w:sz w:val="32"/>
          <w:szCs w:val="32"/>
        </w:rPr>
        <w:br w:type="textWrapping"/>
      </w:r>
      <w:r>
        <w:rPr>
          <w:rFonts w:ascii="Times New Roman" w:hAnsi="Times New Roman" w:eastAsia="仿宋_GB2312"/>
          <w:color w:val="000000"/>
          <w:sz w:val="32"/>
          <w:szCs w:val="32"/>
        </w:rPr>
        <w:t xml:space="preserve">    依据《中华人民共和国消防法》、《中华人民共和国突发事件应对法》、《国家突发公共事件总体应急预案》、《江苏省突发事件总体应急预案》、《连云港市突发事件总体应急预案》等有关法律、法规、应急预案的要求，结合辖区实际情况，制定本预案。</w:t>
      </w:r>
    </w:p>
    <w:p w14:paraId="2A8E9D81">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1.4  现状</w:t>
      </w:r>
    </w:p>
    <w:p w14:paraId="7D6A2A86">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目前，全区共有高层建筑140余幢；消防二级重点单位92家、三级重点单位27家，建有1个消防大队，下辖2个消防站，执勤消防车辆8台，消防指战员30人，合同制消防员22人，消防文员7人。</w:t>
      </w:r>
    </w:p>
    <w:p w14:paraId="5A46CA4D">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随着我区建设步伐的加快，高层、地下建筑、化工企业、公众聚集场所及道路交通等的数量及规模不断增加，灭火救援的难度不断增大，有一些公民、法人及其他组织消防安全意识淡薄，加剧了灭火救援工作的复杂性和艰巨性，与火灾作斗争的任务日益繁重。</w:t>
      </w:r>
    </w:p>
    <w:p w14:paraId="2EAEE9C0">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1.5  适用范围</w:t>
      </w:r>
    </w:p>
    <w:p w14:paraId="5D3EAC8A">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本预案适用于本区行政区域内重特大火灾和抢险救援事故的应急灭火救援处置工作。</w:t>
      </w:r>
    </w:p>
    <w:p w14:paraId="5964506E">
      <w:pPr>
        <w:spacing w:line="59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2  组织指挥体系与职责</w:t>
      </w:r>
    </w:p>
    <w:p w14:paraId="2A411897">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2.1  应急组织机构</w:t>
      </w:r>
    </w:p>
    <w:p w14:paraId="513F08C7">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成立开发区重特大火灾和抢险救援事故灭火救援指挥部（以下简称指挥部），由管委会党工委书记担任总指挥长，管委会分管副主任、区公安分局局长、区消防大队负责人任副总指挥长，区财政局、区规建局、区社会事业局、区交警大队、区安全生产监督管理局、国家电网连云港供电公司、区环保局、市自来水公司、中国移动连云公司、开发区电信公司等单位负责人为成员。</w:t>
      </w:r>
    </w:p>
    <w:p w14:paraId="152F4572">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指挥部下设办公室，办公室设在消防大队，办公室主任由区消防大队大队长兼任。</w:t>
      </w:r>
    </w:p>
    <w:p w14:paraId="28589631">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各街道相应成立重特大火灾和抢险救援事故灭火救援指挥部。</w:t>
      </w:r>
    </w:p>
    <w:p w14:paraId="59CA0442">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2.2  区指挥部的主要职责</w:t>
      </w:r>
    </w:p>
    <w:p w14:paraId="1D686EDC">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●对全区重特大火灾和抢险救援事故的预防和应急处置工作负总责。制定总体决策和战斗行动方案，及时掌握现场情况变化，提出相应措施，适时调整作战方案和调配灭火救援力量，组织协同作战；</w:t>
      </w:r>
    </w:p>
    <w:p w14:paraId="2CE92750">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●对全区重特大火灾和抢险救援事故应急救援队伍、应急救援保障资源进行统一调度；</w:t>
      </w:r>
    </w:p>
    <w:p w14:paraId="79413559">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●对重特大火灾和抢险救援事故应急处置中难以解决的问题或按规定需报告的事项，及时向管委会和江苏省消防总队报告；</w:t>
      </w:r>
    </w:p>
    <w:p w14:paraId="4EF5224B">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●参与组织指挥重特大火灾和抢险救援事故现场的灭火救援工作；</w:t>
      </w:r>
    </w:p>
    <w:p w14:paraId="6F5BA8F4">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 统一发布特大火灾和抢险救援事故信息。</w:t>
      </w:r>
    </w:p>
    <w:p w14:paraId="6DCFCE55">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2.3  区指挥部组成单位职责</w:t>
      </w:r>
    </w:p>
    <w:p w14:paraId="0FF32E90">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公安局：组织消防、治安、交警、巡警、防暴等警种进行应对重特大火灾和抢险救援事故的联合实战演习，不断提高多警种联合作战能力。组织做好重特大火灾和抢险救援现场警戒、维护现场秩序，根据现场应急处置需要，组织实施交通管制。</w:t>
      </w:r>
    </w:p>
    <w:p w14:paraId="2A8DB609">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消防大队：具体承担区指挥部的日常工作。收集、综合分析全区各类火灾和抢险救援事故信息，及时提出预防火灾事故和灭火救援建议；加强灭火救援队伍及装备、设施建设和业务训练，并负责统一调度；负责联络协调各成员单位做好应急灭火救援准备、参与应急灭火救援处置工作；组织重特大火灾和抢险救援事故调查；办理区指挥部交办的其他事务。</w:t>
      </w:r>
    </w:p>
    <w:p w14:paraId="442E192E">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●区财政局：根据处置重特大火灾和抢险救援事故的需要，负责应急灭火救援处置经费保障。</w:t>
      </w:r>
    </w:p>
    <w:p w14:paraId="6AA7D920">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●区社会事业局：负责调配救济物品，保障灾民的基本生活，做好灾民的转移和安置工作。负责组织医疗队伍赶赴重特大火灾和抢险救援事故现场，做好伤病人员的医疗救治，防止和控制各种疫情的暴发流行。</w:t>
      </w:r>
    </w:p>
    <w:p w14:paraId="095E5C13">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●区规建局：负责做好灭火救援用水供应保障工作；根据处置重特大火灾和抢险救援事故的需要，负责组织专业队伍、装备参与灭火救援工作。</w:t>
      </w:r>
    </w:p>
    <w:p w14:paraId="46F208E8">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●区交警大队：根据处置重特大火灾和抢险救援事故的需要，负责提供交通运输保障。</w:t>
      </w:r>
    </w:p>
    <w:p w14:paraId="47AA44E2">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●区安全生产监督管理局：协助消防部门对重特大火灾和抢险救援事故的原因、责任进行调查处理。</w:t>
      </w:r>
    </w:p>
    <w:p w14:paraId="27EF80BE">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●国家电网连云港供电公司：根据处置重特大火灾和抢险救援事故的需要，负责组织采取措施恢复供电系统，保障电力供应。</w:t>
      </w:r>
    </w:p>
    <w:p w14:paraId="7BE82FCA">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●中国移动连云公司：根据处置重特大火灾和抢险救援事故的需要，负责保障灭火救援现场有线、无线通信畅通。</w:t>
      </w:r>
    </w:p>
    <w:p w14:paraId="63E7713F">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●区环保局：根据处置重特大火灾和抢险救援事故的需要，采取必要的环保措施。</w:t>
      </w:r>
    </w:p>
    <w:p w14:paraId="6405BF44">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2.4  灭火救援专家组</w:t>
      </w:r>
    </w:p>
    <w:p w14:paraId="5BB7A378">
      <w:pPr>
        <w:spacing w:line="590" w:lineRule="exact"/>
        <w:rPr>
          <w:rFonts w:ascii="Times New Roman" w:hAnsi="Times New Roman" w:eastAsia="仿宋_GB2312"/>
          <w:color w:val="000000"/>
          <w:sz w:val="32"/>
          <w:szCs w:val="32"/>
        </w:rPr>
      </w:pPr>
      <w:r>
        <w:rPr>
          <w:rFonts w:ascii="Times New Roman" w:hAnsi="Times New Roman" w:eastAsia="仿宋_GB2312"/>
          <w:color w:val="000000"/>
          <w:sz w:val="32"/>
          <w:szCs w:val="32"/>
        </w:rPr>
        <w:t>组建灭火救援专家组并建立专家库，为区指挥部提供决策咨询和工作建议，为制定灭火救援方案及解决灭火救援工作中的疑难问题提出建议。</w:t>
      </w:r>
    </w:p>
    <w:p w14:paraId="7B41263B">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3  预案启动</w:t>
      </w:r>
    </w:p>
    <w:p w14:paraId="221BA70B">
      <w:pPr>
        <w:spacing w:line="590" w:lineRule="exact"/>
        <w:rPr>
          <w:rFonts w:ascii="Times New Roman" w:hAnsi="Times New Roman" w:eastAsia="仿宋_GB2312"/>
          <w:color w:val="000000"/>
          <w:sz w:val="32"/>
          <w:szCs w:val="32"/>
        </w:rPr>
      </w:pPr>
      <w:r>
        <w:rPr>
          <w:rFonts w:ascii="Times New Roman" w:hAnsi="Times New Roman" w:eastAsia="仿宋_GB2312"/>
          <w:color w:val="000000"/>
          <w:sz w:val="32"/>
          <w:szCs w:val="32"/>
        </w:rPr>
        <w:t>●开发区发生重特大火灾和抢险救援事故时，区级灭火救援指挥部立即启动灭火救援应急预案，组织实施应急灭火救援。区灭火救援指挥部密切关注事态变化，做好指挥、参与灭火救援应急准备。</w:t>
      </w:r>
      <w:r>
        <w:rPr>
          <w:rFonts w:ascii="Times New Roman" w:hAnsi="Times New Roman" w:eastAsia="仿宋_GB2312"/>
          <w:color w:val="000000"/>
          <w:sz w:val="32"/>
          <w:szCs w:val="32"/>
        </w:rPr>
        <w:br w:type="textWrapping"/>
      </w:r>
      <w:r>
        <w:rPr>
          <w:rFonts w:ascii="Times New Roman" w:hAnsi="Times New Roman" w:eastAsia="仿宋_GB2312"/>
          <w:color w:val="000000"/>
          <w:sz w:val="32"/>
          <w:szCs w:val="32"/>
        </w:rPr>
        <w:t>●开发区发生重特大火灾和抢险救援事故时，灭火救援指挥部立即启动灭火救援应急预案，组织实施灭火救援应急救援。并及时向管委会和江苏省应急委报告。在处置重特大火灾和抢险救援事故时，本区力量难以有效处置时，及时向江苏省灭火救援指挥部请求援助和提请市应急委启动相关预案。</w:t>
      </w:r>
    </w:p>
    <w:p w14:paraId="6DE4E791">
      <w:pPr>
        <w:spacing w:line="59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4  处置行动</w:t>
      </w:r>
    </w:p>
    <w:p w14:paraId="72CB9F77">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4.1  处置程序</w:t>
      </w:r>
    </w:p>
    <w:p w14:paraId="06FD045A">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●发生重特大火灾的单位或灾害事故单位应立即进行先期处置，控制事态发展，同时报告区级或区级以上灭火救援指挥部请求救援。</w:t>
      </w:r>
    </w:p>
    <w:p w14:paraId="1D66B586">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●区灭火救援指挥部接到报警后应迅速根据灾情启动相应的应急预案，成立现场灭火救援指挥部，开展灭火救援工作。</w:t>
      </w:r>
    </w:p>
    <w:p w14:paraId="3AF03065">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●灾害事故可能造成特别严重后果、需要调邻近地区力量或特勤队伍处置时，向区或江苏省灭火救援指挥部报告情况，请求援助。</w:t>
      </w:r>
    </w:p>
    <w:p w14:paraId="28D4BF6C">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4.2  处置指挥</w:t>
      </w:r>
    </w:p>
    <w:p w14:paraId="3639386D">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各级灭火救援指挥部接到报警后，根据灾情发展，启动相应的灭火救援应急预案，在区灭火救援指挥部的领导下，设立现场指挥部，并由总指挥长根据灭火救援需要指定具备相应岗位资格的指挥部成员担任现场总指挥，下设各工作小组：</w:t>
      </w:r>
      <w:r>
        <w:rPr>
          <w:rFonts w:ascii="Times New Roman" w:hAnsi="Times New Roman" w:eastAsia="仿宋_GB2312"/>
          <w:color w:val="000000"/>
          <w:sz w:val="32"/>
          <w:szCs w:val="32"/>
        </w:rPr>
        <w:br w:type="textWrapping"/>
      </w:r>
      <w:r>
        <w:rPr>
          <w:rFonts w:ascii="Times New Roman" w:hAnsi="Times New Roman" w:eastAsia="仿宋_GB2312"/>
          <w:color w:val="000000"/>
          <w:sz w:val="32"/>
          <w:szCs w:val="32"/>
        </w:rPr>
        <w:t>●灭火战斗组：由消防部门根据火灾情况启动行动方案，组织火灾扑救和事故处置。</w:t>
      </w:r>
    </w:p>
    <w:p w14:paraId="3488BF2C">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●现场警戒组：由公安部门组织干警、武警官兵根据灭火救援现场的需要，负责现场警戒，开展现场人员疏散救助工作，维护现场治安。必要时，实行交通管制。</w:t>
      </w:r>
    </w:p>
    <w:p w14:paraId="72833774">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●火场供水组：由自来水公司根据灭火救援需要，做好供水保障；</w:t>
      </w:r>
    </w:p>
    <w:p w14:paraId="72E86C7C">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●后勤保障组：由财政部门根据灭火救援需要，提供救援物资、经费保障；</w:t>
      </w:r>
    </w:p>
    <w:p w14:paraId="39EBCD53">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●医疗救护组：由卫生部门根据灭火救援需要，做好医疗救护工作；</w:t>
      </w:r>
    </w:p>
    <w:p w14:paraId="457C3AEB">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●通信联络组：由通信管理部门负责灭火救援现场有线、无线通信畅通。</w:t>
      </w:r>
    </w:p>
    <w:p w14:paraId="3056D63A">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●事故调查组：由消防部门负责，安全生产监督部门配合。</w:t>
      </w:r>
    </w:p>
    <w:p w14:paraId="364BB8AA">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●灾民安置组：由民政部门负责灾民的安置、救济工作。</w:t>
      </w:r>
    </w:p>
    <w:p w14:paraId="0FE32346">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各工作小组必须无条件服从现场指挥部和灭火救援指挥部的指挥和领导，加强协同作战，认真完成各项应急任务。现场灭火救援指挥部有权征用、调用社会资源。</w:t>
      </w:r>
    </w:p>
    <w:p w14:paraId="5AA97F6C">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4.3灭火救援指挥部根据灾情指挥调集对应力量参加灭火救援。</w:t>
      </w:r>
    </w:p>
    <w:p w14:paraId="48FC1F0E">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●区级一般火灾和抢险救援事故，由区级灭火救援指挥部立即调集1个消防中队或2-3台消防车出动灭火救援，成员单位采取相应的行动方案，参与灭火救援。</w:t>
      </w:r>
    </w:p>
    <w:p w14:paraId="64305B02">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●区级重特大火灾和抢险救援事故，区级灭火救援指挥部立即调集消防中队或5台以上消防车直至全部执勤力量出动灭火，成员单位采取相应的行动方案，参与灭火救援。</w:t>
      </w:r>
      <w:r>
        <w:rPr>
          <w:rFonts w:ascii="Times New Roman" w:hAnsi="Times New Roman" w:eastAsia="仿宋_GB2312"/>
          <w:color w:val="000000"/>
          <w:sz w:val="32"/>
          <w:szCs w:val="32"/>
        </w:rPr>
        <w:br w:type="textWrapping"/>
      </w:r>
      <w:r>
        <w:rPr>
          <w:rFonts w:ascii="Times New Roman" w:hAnsi="Times New Roman" w:eastAsia="仿宋_GB2312"/>
          <w:color w:val="000000"/>
          <w:sz w:val="32"/>
          <w:szCs w:val="32"/>
        </w:rPr>
        <w:t>区级重特大火灾和抢险救援事故，区灭火救援指挥部应根据现场实际情况及时向上一级报告，按对应等级调度。</w:t>
      </w:r>
    </w:p>
    <w:p w14:paraId="1077E1BF">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4.4  处置措施</w:t>
      </w:r>
    </w:p>
    <w:p w14:paraId="536D8558">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现场指挥部在区灭火救援指挥部的领导下，根据灭火救援工作实际，确定作战意图、制订具体实施方案、展开灭火救援工作。其基本处置措施：</w:t>
      </w:r>
    </w:p>
    <w:p w14:paraId="6DA95C5F">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●进行火情侦察，确定燃烧物质、损失程度和有无人员被困；</w:t>
      </w:r>
    </w:p>
    <w:p w14:paraId="6F146509">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●开辟救生通道，积极疏散、抢救围观群众和被困人员；</w:t>
      </w:r>
    </w:p>
    <w:p w14:paraId="306A78A7">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●划定警戒区域，实行交通管制；</w:t>
      </w:r>
    </w:p>
    <w:p w14:paraId="3403A2E9">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●迅速控制火源、危险源和事故源，对现场进行不间断监测，防止次生灾害事故的发生，并按制定灭火救援方案展开灭火救援战斗；</w:t>
      </w:r>
    </w:p>
    <w:p w14:paraId="445C567E">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●确定水源位置，搞好现场供水；</w:t>
      </w:r>
    </w:p>
    <w:p w14:paraId="4779CCF1">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●选择好灭火救援阵地，保护起火点或事故点，减少水渍和不必要损失；</w:t>
      </w:r>
    </w:p>
    <w:p w14:paraId="2E04E043">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●疏散和保护物资；</w:t>
      </w:r>
    </w:p>
    <w:p w14:paraId="137ECEDD">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●必要时采取火场破拆、排烟和断电措施；</w:t>
      </w:r>
    </w:p>
    <w:p w14:paraId="494079C6">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●检查现场，消灭余火和事故源，清点人员和装备，结束战斗；</w:t>
      </w:r>
    </w:p>
    <w:p w14:paraId="1F74D5C9">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●保护现场，进行特大火灾和事故原因调查及损失核定。</w:t>
      </w:r>
    </w:p>
    <w:p w14:paraId="4ADC4DD7">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根据不同类型的火灾和社会抢险救援事故，采取其他相应的应对措施。</w:t>
      </w:r>
    </w:p>
    <w:p w14:paraId="7B365F71">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4.5  处置原则</w:t>
      </w:r>
    </w:p>
    <w:p w14:paraId="4869C47E">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以人为本，救人第一。把保障人民群众的生命安全、最大限度地预防和减少火灾事故造成的人员伤亡作为首要任务，切实加强救援人员的安全防护，充分发挥攻坚力量的骨干作用和专家组的指导作用以及人民群众的基础作用。</w:t>
      </w:r>
    </w:p>
    <w:p w14:paraId="5FBBDB40">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●统一指挥，分级负责。在区政府统一领导下，各相关部门按照各自职责和权限，负责火灾事故的应急管理和处置工作。</w:t>
      </w:r>
    </w:p>
    <w:p w14:paraId="69F8B2E6">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●规范程序，科学施救。规范救援程序，实行科学决策，确保应急预案的科学性、权威性和可操作性。采用先进的救援装备和技术，增强灭火应急救援能力。</w:t>
      </w:r>
    </w:p>
    <w:p w14:paraId="66E7A60E">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确保重点，兼顾一般。坚持局部服从全局，快速准确地确定处置特大火灾和社会抢险救援事故行动的主要方面。在处置重特大火灾和抢险救援事故时，必须尊重科学、实事求是，科学合理地制定灭火救援行动方案。</w:t>
      </w:r>
    </w:p>
    <w:p w14:paraId="668DC72F">
      <w:pPr>
        <w:spacing w:line="59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rPr>
        <w:t>●预防为主，平战结合。贯彻落实“预防为主、防消结合”的工作方针，坚持预防工作与灭火应急救援相结合，加强火灾预防，抓好队伍、装备建设以及预案演练等工作。</w:t>
      </w:r>
    </w:p>
    <w:p w14:paraId="4FE49457">
      <w:pPr>
        <w:spacing w:line="59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5  应急结束</w:t>
      </w:r>
    </w:p>
    <w:p w14:paraId="0FE4A38C">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●重特大火灾和抢险救援事故应急处置结束后，对灾害现场进行全面清理检查，相关部门和单位清点参战人员、车辆装备器材，由现场指挥部下达结束战斗的命令，解除预案。迅速恢复正常的战备秩序。</w:t>
      </w:r>
      <w:r>
        <w:rPr>
          <w:rFonts w:ascii="Times New Roman" w:hAnsi="Times New Roman" w:eastAsia="仿宋_GB2312"/>
          <w:color w:val="000000"/>
          <w:sz w:val="32"/>
          <w:szCs w:val="32"/>
        </w:rPr>
        <w:br w:type="textWrapping"/>
      </w:r>
      <w:r>
        <w:rPr>
          <w:rFonts w:ascii="Times New Roman" w:hAnsi="Times New Roman" w:eastAsia="仿宋_GB2312"/>
          <w:color w:val="000000"/>
          <w:sz w:val="32"/>
          <w:szCs w:val="32"/>
        </w:rPr>
        <w:t>●现场指挥部报请开发区灭火救援指挥部宣布灭火救援应急行动结束并向社会发布相关信息。有关部门继续做好善后处理工作。</w:t>
      </w:r>
    </w:p>
    <w:p w14:paraId="274EC55E">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5.1 后期处置</w:t>
      </w:r>
    </w:p>
    <w:p w14:paraId="17FB5B1E">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火案查处。由区灭火救援指挥部办公室对灾害事故原因、经济损失等进行调查统计，写出专题调查报告，按照行政事故责任追究制，严格追究相关人员的责任。如触及刑律，提交司法机关立案侦查。</w:t>
      </w:r>
    </w:p>
    <w:p w14:paraId="56F27723">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善后工作。由灾害事故发生地人民政府根据有关规定妥善做好灾民安置和灾后重建工作。对于调集增援的企事业单位专职消防队参战中物资消耗，依据相关规定给予适当的补偿。</w:t>
      </w:r>
    </w:p>
    <w:p w14:paraId="6DBF3F1A">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战评总结。由区灭火救援指挥部办公室组织所有参战队伍进行战评总结，认真分析总结战斗过程中的组织指挥、战斗部署、战术运用、力量调度、协同作战、战斗保障、战斗作风和纪律等方面存在的经验和教训，编写《重特大火灾和抢险救援事故灭火救援总结报告》。</w:t>
      </w:r>
    </w:p>
    <w:p w14:paraId="252ADDB0">
      <w:pPr>
        <w:spacing w:line="59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6  附则</w:t>
      </w:r>
    </w:p>
    <w:p w14:paraId="0BBB376A">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6.1 预案管理</w:t>
      </w:r>
    </w:p>
    <w:p w14:paraId="518367B2">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本预案由灭火救援指挥部办公室指派专人负责管理，每年组织成员单位对预案进行评估。根据本预案适用灭火救援的实际情况以及法律、法规的修改情况，及时对本预案进行修改。</w:t>
      </w:r>
    </w:p>
    <w:p w14:paraId="7FE0327C">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6.2  奖励与惩罚</w:t>
      </w:r>
    </w:p>
    <w:p w14:paraId="7F97896A">
      <w:pPr>
        <w:spacing w:line="590" w:lineRule="exact"/>
        <w:ind w:firstLine="640" w:firstLineChars="200"/>
        <w:rPr>
          <w:rFonts w:ascii="Times New Roman" w:hAnsi="Times New Roman" w:eastAsia="仿宋_GB2312"/>
          <w:color w:val="000000"/>
          <w:kern w:val="0"/>
          <w:sz w:val="32"/>
          <w:szCs w:val="32"/>
          <w:shd w:val="clear" w:color="auto" w:fill="FFFFFF"/>
        </w:rPr>
      </w:pPr>
      <w:r>
        <w:rPr>
          <w:rFonts w:ascii="Times New Roman" w:hAnsi="Times New Roman" w:eastAsia="仿宋_GB2312"/>
          <w:color w:val="000000"/>
          <w:kern w:val="0"/>
          <w:sz w:val="32"/>
          <w:szCs w:val="32"/>
          <w:shd w:val="clear" w:color="auto" w:fill="FFFFFF"/>
        </w:rPr>
        <w:t>对在火灾事故应急救援工作中有突出贡献的单位和个人，应依据有关规定给予表彰奖励。对重特大火灾事故实行责任追究制，依据有关规定追究责任。</w:t>
      </w:r>
    </w:p>
    <w:p w14:paraId="1C825598">
      <w:pPr>
        <w:pStyle w:val="2"/>
        <w:ind w:firstLine="480"/>
        <w:rPr>
          <w:rFonts w:cs="Times New Roman"/>
        </w:rPr>
      </w:pPr>
    </w:p>
    <w:p w14:paraId="2AE9B725">
      <w:pPr>
        <w:pStyle w:val="2"/>
        <w:ind w:firstLine="480"/>
        <w:rPr>
          <w:rFonts w:cs="Times New Roman"/>
        </w:rPr>
      </w:pPr>
    </w:p>
    <w:p w14:paraId="48EAD3AD">
      <w:pPr>
        <w:pStyle w:val="2"/>
        <w:ind w:firstLine="480"/>
        <w:rPr>
          <w:rFonts w:cs="Times New Roman"/>
        </w:rPr>
      </w:pPr>
    </w:p>
    <w:p w14:paraId="2C3A301B">
      <w:pPr>
        <w:pStyle w:val="2"/>
        <w:ind w:firstLine="480"/>
        <w:rPr>
          <w:rFonts w:cs="Times New Roman"/>
        </w:rPr>
      </w:pPr>
    </w:p>
    <w:p w14:paraId="55E35CA7">
      <w:pPr>
        <w:pStyle w:val="2"/>
        <w:ind w:firstLine="480"/>
        <w:rPr>
          <w:rFonts w:cs="Times New Roman"/>
        </w:rPr>
        <w:sectPr>
          <w:footerReference r:id="rId9" w:type="even"/>
          <w:pgSz w:w="11906" w:h="16838"/>
          <w:pgMar w:top="2098" w:right="1474" w:bottom="1985" w:left="1588" w:header="851" w:footer="1588" w:gutter="0"/>
          <w:cols w:space="0" w:num="1"/>
          <w:docGrid w:linePitch="319" w:charSpace="0"/>
        </w:sectPr>
      </w:pPr>
    </w:p>
    <w:p w14:paraId="2D1FB736">
      <w:pPr>
        <w:spacing w:before="240" w:line="360" w:lineRule="auto"/>
        <w:jc w:val="center"/>
        <w:rPr>
          <w:rFonts w:ascii="Times New Roman" w:hAnsi="Times New Roman" w:eastAsia="方正小标宋简体"/>
          <w:kern w:val="0"/>
          <w:sz w:val="44"/>
          <w:szCs w:val="44"/>
        </w:rPr>
      </w:pPr>
      <w:r>
        <w:rPr>
          <w:rFonts w:ascii="Times New Roman" w:hAnsi="Times New Roman" w:eastAsia="方正小标宋简体"/>
          <w:kern w:val="0"/>
          <w:sz w:val="44"/>
          <w:szCs w:val="44"/>
        </w:rPr>
        <w:t>连云港经济技术开发区防汛抗旱应急预案</w:t>
      </w:r>
    </w:p>
    <w:p w14:paraId="570BAD77">
      <w:pPr>
        <w:pStyle w:val="11"/>
        <w:spacing w:line="360" w:lineRule="auto"/>
        <w:rPr>
          <w:rFonts w:eastAsia="黑体"/>
          <w:bCs/>
          <w:sz w:val="44"/>
          <w:szCs w:val="44"/>
        </w:rPr>
      </w:pPr>
      <w:r>
        <w:rPr>
          <w:rFonts w:eastAsia="黑体"/>
          <w:bCs/>
          <w:sz w:val="44"/>
          <w:szCs w:val="44"/>
        </w:rPr>
        <w:t>目  录</w:t>
      </w:r>
    </w:p>
    <w:p w14:paraId="185E89A3">
      <w:pPr>
        <w:pStyle w:val="53"/>
        <w:spacing w:line="540" w:lineRule="exact"/>
        <w:jc w:val="left"/>
        <w:rPr>
          <w:rFonts w:eastAsia="黑体"/>
          <w:sz w:val="32"/>
          <w:szCs w:val="32"/>
        </w:rPr>
      </w:pPr>
      <w:r>
        <w:rPr>
          <w:rFonts w:eastAsia="楷体"/>
          <w:sz w:val="28"/>
          <w:szCs w:val="28"/>
        </w:rPr>
        <w:fldChar w:fldCharType="begin"/>
      </w:r>
      <w:r>
        <w:rPr>
          <w:rFonts w:eastAsia="楷体"/>
          <w:sz w:val="28"/>
          <w:szCs w:val="28"/>
        </w:rPr>
        <w:instrText xml:space="preserve">TOC \o "1-3" \h \u </w:instrText>
      </w:r>
      <w:r>
        <w:rPr>
          <w:rFonts w:eastAsia="楷体"/>
          <w:sz w:val="28"/>
          <w:szCs w:val="28"/>
        </w:rPr>
        <w:fldChar w:fldCharType="separate"/>
      </w:r>
      <w:r>
        <w:fldChar w:fldCharType="begin"/>
      </w:r>
      <w:r>
        <w:instrText xml:space="preserve"> HYPERLINK \l "_Toc18096" </w:instrText>
      </w:r>
      <w:r>
        <w:fldChar w:fldCharType="separate"/>
      </w:r>
      <w:r>
        <w:rPr>
          <w:rFonts w:eastAsia="黑体"/>
          <w:sz w:val="32"/>
          <w:szCs w:val="32"/>
        </w:rPr>
        <w:t>1  总则</w:t>
      </w:r>
      <w:r>
        <w:rPr>
          <w:rFonts w:eastAsia="黑体"/>
          <w:sz w:val="32"/>
          <w:szCs w:val="32"/>
        </w:rPr>
        <w:fldChar w:fldCharType="end"/>
      </w:r>
    </w:p>
    <w:p w14:paraId="51D5224C">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"_Toc8045" </w:instrText>
      </w:r>
      <w:r>
        <w:fldChar w:fldCharType="separate"/>
      </w:r>
      <w:r>
        <w:rPr>
          <w:rFonts w:ascii="Times New Roman" w:hAnsi="Times New Roman" w:eastAsia="仿宋_GB2312"/>
          <w:kern w:val="0"/>
          <w:sz w:val="32"/>
          <w:szCs w:val="32"/>
        </w:rPr>
        <w:t>1.1  编制目的</w:t>
      </w:r>
      <w:r>
        <w:rPr>
          <w:rFonts w:ascii="Times New Roman" w:hAnsi="Times New Roman" w:eastAsia="仿宋_GB2312"/>
          <w:kern w:val="0"/>
          <w:sz w:val="32"/>
          <w:szCs w:val="32"/>
        </w:rPr>
        <w:fldChar w:fldCharType="end"/>
      </w:r>
    </w:p>
    <w:p w14:paraId="7DCA4D18">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"_Toc618" </w:instrText>
      </w:r>
      <w:r>
        <w:fldChar w:fldCharType="separate"/>
      </w:r>
      <w:r>
        <w:rPr>
          <w:rFonts w:ascii="Times New Roman" w:hAnsi="Times New Roman" w:eastAsia="仿宋_GB2312"/>
          <w:kern w:val="0"/>
          <w:sz w:val="32"/>
          <w:szCs w:val="32"/>
        </w:rPr>
        <w:t>1.2  编制依据</w:t>
      </w:r>
      <w:r>
        <w:rPr>
          <w:rFonts w:ascii="Times New Roman" w:hAnsi="Times New Roman" w:eastAsia="仿宋_GB2312"/>
          <w:kern w:val="0"/>
          <w:sz w:val="32"/>
          <w:szCs w:val="32"/>
        </w:rPr>
        <w:fldChar w:fldCharType="end"/>
      </w:r>
    </w:p>
    <w:p w14:paraId="24283430">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"_Toc2954" </w:instrText>
      </w:r>
      <w:r>
        <w:fldChar w:fldCharType="separate"/>
      </w:r>
      <w:r>
        <w:rPr>
          <w:rFonts w:ascii="Times New Roman" w:hAnsi="Times New Roman" w:eastAsia="仿宋_GB2312"/>
          <w:kern w:val="0"/>
          <w:sz w:val="32"/>
          <w:szCs w:val="32"/>
        </w:rPr>
        <w:t>1.3  适用范围</w:t>
      </w:r>
      <w:r>
        <w:rPr>
          <w:rFonts w:ascii="Times New Roman" w:hAnsi="Times New Roman" w:eastAsia="仿宋_GB2312"/>
          <w:kern w:val="0"/>
          <w:sz w:val="32"/>
          <w:szCs w:val="32"/>
        </w:rPr>
        <w:fldChar w:fldCharType="end"/>
      </w:r>
    </w:p>
    <w:p w14:paraId="1F894050">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"_Toc11474" </w:instrText>
      </w:r>
      <w:r>
        <w:fldChar w:fldCharType="separate"/>
      </w:r>
      <w:r>
        <w:rPr>
          <w:rFonts w:ascii="Times New Roman" w:hAnsi="Times New Roman" w:eastAsia="仿宋_GB2312"/>
          <w:kern w:val="0"/>
          <w:sz w:val="32"/>
          <w:szCs w:val="32"/>
        </w:rPr>
        <w:t>1.4  工作原则</w:t>
      </w:r>
      <w:r>
        <w:rPr>
          <w:rFonts w:ascii="Times New Roman" w:hAnsi="Times New Roman" w:eastAsia="仿宋_GB2312"/>
          <w:kern w:val="0"/>
          <w:sz w:val="32"/>
          <w:szCs w:val="32"/>
        </w:rPr>
        <w:fldChar w:fldCharType="end"/>
      </w:r>
    </w:p>
    <w:p w14:paraId="256B84B7">
      <w:pPr>
        <w:autoSpaceDE w:val="0"/>
        <w:autoSpaceDN w:val="0"/>
        <w:adjustRightInd w:val="0"/>
        <w:spacing w:line="540" w:lineRule="exact"/>
        <w:ind w:firstLine="1078"/>
        <w:jc w:val="left"/>
        <w:rPr>
          <w:rFonts w:ascii="Times New Roman" w:hAnsi="Times New Roman" w:eastAsia="宋体"/>
          <w:sz w:val="28"/>
          <w:szCs w:val="28"/>
        </w:rPr>
      </w:pPr>
      <w:r>
        <w:fldChar w:fldCharType="begin"/>
      </w:r>
      <w:r>
        <w:instrText xml:space="preserve"> HYPERLINK \l "_Toc23090" </w:instrText>
      </w:r>
      <w:r>
        <w:fldChar w:fldCharType="separate"/>
      </w:r>
      <w:r>
        <w:rPr>
          <w:rFonts w:ascii="Times New Roman" w:hAnsi="Times New Roman" w:eastAsia="仿宋_GB2312"/>
          <w:kern w:val="0"/>
          <w:sz w:val="32"/>
          <w:szCs w:val="32"/>
        </w:rPr>
        <w:t>1.5  防汛抗旱风险分析</w:t>
      </w:r>
      <w:r>
        <w:rPr>
          <w:rFonts w:ascii="Times New Roman" w:hAnsi="Times New Roman" w:eastAsia="仿宋_GB2312"/>
          <w:kern w:val="0"/>
          <w:sz w:val="32"/>
          <w:szCs w:val="32"/>
        </w:rPr>
        <w:fldChar w:fldCharType="end"/>
      </w:r>
    </w:p>
    <w:p w14:paraId="4D127201">
      <w:pPr>
        <w:pStyle w:val="53"/>
        <w:spacing w:line="540" w:lineRule="exact"/>
        <w:jc w:val="left"/>
        <w:rPr>
          <w:rFonts w:eastAsia="黑体"/>
          <w:sz w:val="32"/>
          <w:szCs w:val="32"/>
        </w:rPr>
      </w:pPr>
      <w:r>
        <w:fldChar w:fldCharType="begin"/>
      </w:r>
      <w:r>
        <w:instrText xml:space="preserve"> HYPERLINK \l "_Toc2266" </w:instrText>
      </w:r>
      <w:r>
        <w:fldChar w:fldCharType="separate"/>
      </w:r>
      <w:r>
        <w:rPr>
          <w:rFonts w:eastAsia="黑体"/>
          <w:sz w:val="32"/>
          <w:szCs w:val="32"/>
        </w:rPr>
        <w:t>2  组织体系</w:t>
      </w:r>
      <w:r>
        <w:rPr>
          <w:rFonts w:eastAsia="黑体"/>
          <w:sz w:val="32"/>
          <w:szCs w:val="32"/>
        </w:rPr>
        <w:fldChar w:fldCharType="end"/>
      </w:r>
    </w:p>
    <w:p w14:paraId="3D738BD8">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"_Toc22842" </w:instrText>
      </w:r>
      <w:r>
        <w:fldChar w:fldCharType="separate"/>
      </w:r>
      <w:r>
        <w:rPr>
          <w:rFonts w:ascii="Times New Roman" w:hAnsi="Times New Roman" w:eastAsia="仿宋_GB2312"/>
          <w:kern w:val="0"/>
          <w:sz w:val="32"/>
          <w:szCs w:val="32"/>
        </w:rPr>
        <w:t>2.1  区防汛抗旱指挥部</w:t>
      </w:r>
      <w:r>
        <w:rPr>
          <w:rFonts w:ascii="Times New Roman" w:hAnsi="Times New Roman" w:eastAsia="仿宋_GB2312"/>
          <w:kern w:val="0"/>
          <w:sz w:val="32"/>
          <w:szCs w:val="32"/>
        </w:rPr>
        <w:fldChar w:fldCharType="end"/>
      </w:r>
    </w:p>
    <w:p w14:paraId="303F8D0A">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"_Toc4356" </w:instrText>
      </w:r>
      <w:r>
        <w:fldChar w:fldCharType="separate"/>
      </w:r>
      <w:r>
        <w:rPr>
          <w:rFonts w:ascii="Times New Roman" w:hAnsi="Times New Roman" w:eastAsia="仿宋_GB2312"/>
          <w:kern w:val="0"/>
          <w:sz w:val="32"/>
          <w:szCs w:val="32"/>
        </w:rPr>
        <w:t>2.2  基层防汛抗旱组织</w:t>
      </w:r>
      <w:r>
        <w:rPr>
          <w:rFonts w:ascii="Times New Roman" w:hAnsi="Times New Roman" w:eastAsia="仿宋_GB2312"/>
          <w:kern w:val="0"/>
          <w:sz w:val="32"/>
          <w:szCs w:val="32"/>
        </w:rPr>
        <w:fldChar w:fldCharType="end"/>
      </w:r>
    </w:p>
    <w:p w14:paraId="631B377B">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"_Toc29972" </w:instrText>
      </w:r>
      <w:r>
        <w:fldChar w:fldCharType="separate"/>
      </w:r>
      <w:r>
        <w:rPr>
          <w:rFonts w:ascii="Times New Roman" w:hAnsi="Times New Roman" w:eastAsia="仿宋_GB2312"/>
          <w:kern w:val="0"/>
          <w:sz w:val="32"/>
          <w:szCs w:val="32"/>
        </w:rPr>
        <w:t>2.3  工作组</w:t>
      </w:r>
      <w:r>
        <w:rPr>
          <w:rFonts w:ascii="Times New Roman" w:hAnsi="Times New Roman" w:eastAsia="仿宋_GB2312"/>
          <w:kern w:val="0"/>
          <w:sz w:val="32"/>
          <w:szCs w:val="32"/>
        </w:rPr>
        <w:fldChar w:fldCharType="end"/>
      </w:r>
    </w:p>
    <w:p w14:paraId="6B0A5826">
      <w:pPr>
        <w:pStyle w:val="53"/>
        <w:spacing w:line="540" w:lineRule="exact"/>
        <w:jc w:val="left"/>
        <w:rPr>
          <w:rFonts w:eastAsia="黑体"/>
          <w:sz w:val="32"/>
          <w:szCs w:val="32"/>
        </w:rPr>
      </w:pPr>
      <w:r>
        <w:fldChar w:fldCharType="begin"/>
      </w:r>
      <w:r>
        <w:instrText xml:space="preserve"> HYPERLINK \l "_Toc21517" </w:instrText>
      </w:r>
      <w:r>
        <w:fldChar w:fldCharType="separate"/>
      </w:r>
      <w:r>
        <w:rPr>
          <w:rFonts w:eastAsia="黑体"/>
          <w:sz w:val="32"/>
          <w:szCs w:val="32"/>
        </w:rPr>
        <w:t>3  监测预报、预警和预防</w:t>
      </w:r>
      <w:r>
        <w:rPr>
          <w:rFonts w:eastAsia="黑体"/>
          <w:sz w:val="32"/>
          <w:szCs w:val="32"/>
        </w:rPr>
        <w:fldChar w:fldCharType="end"/>
      </w:r>
    </w:p>
    <w:p w14:paraId="2223A9F1">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"_Toc19797" </w:instrText>
      </w:r>
      <w:r>
        <w:fldChar w:fldCharType="separate"/>
      </w:r>
      <w:r>
        <w:rPr>
          <w:rFonts w:ascii="Times New Roman" w:hAnsi="Times New Roman" w:eastAsia="仿宋_GB2312"/>
          <w:kern w:val="0"/>
          <w:sz w:val="32"/>
          <w:szCs w:val="32"/>
        </w:rPr>
        <w:t>3.1  监测预报</w:t>
      </w:r>
      <w:r>
        <w:rPr>
          <w:rFonts w:ascii="Times New Roman" w:hAnsi="Times New Roman" w:eastAsia="仿宋_GB2312"/>
          <w:kern w:val="0"/>
          <w:sz w:val="32"/>
          <w:szCs w:val="32"/>
        </w:rPr>
        <w:fldChar w:fldCharType="end"/>
      </w:r>
    </w:p>
    <w:p w14:paraId="7607FEF9">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"_Toc14296" </w:instrText>
      </w:r>
      <w:r>
        <w:fldChar w:fldCharType="separate"/>
      </w:r>
      <w:r>
        <w:rPr>
          <w:rFonts w:ascii="Times New Roman" w:hAnsi="Times New Roman" w:eastAsia="仿宋_GB2312"/>
          <w:kern w:val="0"/>
          <w:sz w:val="32"/>
          <w:szCs w:val="32"/>
        </w:rPr>
        <w:t>3.2  预警</w:t>
      </w:r>
      <w:r>
        <w:rPr>
          <w:rFonts w:ascii="Times New Roman" w:hAnsi="Times New Roman" w:eastAsia="仿宋_GB2312"/>
          <w:kern w:val="0"/>
          <w:sz w:val="32"/>
          <w:szCs w:val="32"/>
        </w:rPr>
        <w:fldChar w:fldCharType="end"/>
      </w:r>
    </w:p>
    <w:p w14:paraId="4A4B0136">
      <w:pPr>
        <w:autoSpaceDE w:val="0"/>
        <w:autoSpaceDN w:val="0"/>
        <w:adjustRightInd w:val="0"/>
        <w:spacing w:line="540" w:lineRule="exact"/>
        <w:ind w:firstLine="1078"/>
        <w:jc w:val="left"/>
        <w:rPr>
          <w:rFonts w:ascii="Times New Roman" w:hAnsi="Times New Roman" w:eastAsia="宋体"/>
          <w:sz w:val="28"/>
          <w:szCs w:val="28"/>
        </w:rPr>
      </w:pPr>
      <w:r>
        <w:fldChar w:fldCharType="begin"/>
      </w:r>
      <w:r>
        <w:instrText xml:space="preserve"> HYPERLINK \l "_Toc27242" </w:instrText>
      </w:r>
      <w:r>
        <w:fldChar w:fldCharType="separate"/>
      </w:r>
      <w:r>
        <w:rPr>
          <w:rFonts w:ascii="Times New Roman" w:hAnsi="Times New Roman" w:eastAsia="仿宋_GB2312"/>
          <w:kern w:val="0"/>
          <w:sz w:val="32"/>
          <w:szCs w:val="32"/>
        </w:rPr>
        <w:t>3.3  预防</w:t>
      </w:r>
      <w:r>
        <w:rPr>
          <w:rFonts w:ascii="Times New Roman" w:hAnsi="Times New Roman" w:eastAsia="仿宋_GB2312"/>
          <w:kern w:val="0"/>
          <w:sz w:val="32"/>
          <w:szCs w:val="32"/>
        </w:rPr>
        <w:fldChar w:fldCharType="end"/>
      </w:r>
    </w:p>
    <w:p w14:paraId="11F39E70">
      <w:pPr>
        <w:pStyle w:val="53"/>
        <w:spacing w:line="540" w:lineRule="exact"/>
        <w:jc w:val="left"/>
        <w:rPr>
          <w:rFonts w:eastAsia="黑体"/>
          <w:sz w:val="32"/>
          <w:szCs w:val="32"/>
        </w:rPr>
      </w:pPr>
      <w:r>
        <w:fldChar w:fldCharType="begin"/>
      </w:r>
      <w:r>
        <w:instrText xml:space="preserve"> HYPERLINK \l "_Toc23757" </w:instrText>
      </w:r>
      <w:r>
        <w:fldChar w:fldCharType="separate"/>
      </w:r>
      <w:r>
        <w:rPr>
          <w:rFonts w:eastAsia="黑体"/>
          <w:sz w:val="32"/>
          <w:szCs w:val="32"/>
        </w:rPr>
        <w:t>4  应急响应</w:t>
      </w:r>
      <w:r>
        <w:rPr>
          <w:rFonts w:eastAsia="黑体"/>
          <w:sz w:val="32"/>
          <w:szCs w:val="32"/>
        </w:rPr>
        <w:fldChar w:fldCharType="end"/>
      </w:r>
    </w:p>
    <w:p w14:paraId="38E66912">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"_Toc1550" </w:instrText>
      </w:r>
      <w:r>
        <w:fldChar w:fldCharType="separate"/>
      </w:r>
      <w:r>
        <w:rPr>
          <w:rFonts w:ascii="Times New Roman" w:hAnsi="Times New Roman" w:eastAsia="仿宋_GB2312"/>
          <w:kern w:val="0"/>
          <w:sz w:val="32"/>
          <w:szCs w:val="32"/>
        </w:rPr>
        <w:t>4.1  防汛应急响应启动条件</w:t>
      </w:r>
      <w:r>
        <w:rPr>
          <w:rFonts w:ascii="Times New Roman" w:hAnsi="Times New Roman" w:eastAsia="仿宋_GB2312"/>
          <w:kern w:val="0"/>
          <w:sz w:val="32"/>
          <w:szCs w:val="32"/>
        </w:rPr>
        <w:fldChar w:fldCharType="end"/>
      </w:r>
    </w:p>
    <w:p w14:paraId="60DFFDCB">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"_Toc27904" </w:instrText>
      </w:r>
      <w:r>
        <w:fldChar w:fldCharType="separate"/>
      </w:r>
      <w:r>
        <w:rPr>
          <w:rFonts w:ascii="Times New Roman" w:hAnsi="Times New Roman" w:eastAsia="仿宋_GB2312"/>
          <w:kern w:val="0"/>
          <w:sz w:val="32"/>
          <w:szCs w:val="32"/>
        </w:rPr>
        <w:t>4.2  抗旱应急响应启用条件</w:t>
      </w:r>
      <w:r>
        <w:rPr>
          <w:rFonts w:ascii="Times New Roman" w:hAnsi="Times New Roman" w:eastAsia="仿宋_GB2312"/>
          <w:kern w:val="0"/>
          <w:sz w:val="32"/>
          <w:szCs w:val="32"/>
        </w:rPr>
        <w:fldChar w:fldCharType="end"/>
      </w:r>
    </w:p>
    <w:p w14:paraId="7CC0D373">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"_Toc9269" </w:instrText>
      </w:r>
      <w:r>
        <w:fldChar w:fldCharType="separate"/>
      </w:r>
      <w:r>
        <w:rPr>
          <w:rFonts w:ascii="Times New Roman" w:hAnsi="Times New Roman" w:eastAsia="仿宋_GB2312"/>
          <w:kern w:val="0"/>
          <w:sz w:val="32"/>
          <w:szCs w:val="32"/>
        </w:rPr>
        <w:t>4.3  应急响应行动</w:t>
      </w:r>
      <w:r>
        <w:rPr>
          <w:rFonts w:ascii="Times New Roman" w:hAnsi="Times New Roman" w:eastAsia="仿宋_GB2312"/>
          <w:kern w:val="0"/>
          <w:sz w:val="32"/>
          <w:szCs w:val="32"/>
        </w:rPr>
        <w:fldChar w:fldCharType="end"/>
      </w:r>
    </w:p>
    <w:p w14:paraId="6425F0A4">
      <w:pPr>
        <w:autoSpaceDE w:val="0"/>
        <w:autoSpaceDN w:val="0"/>
        <w:adjustRightInd w:val="0"/>
        <w:spacing w:line="540" w:lineRule="exact"/>
        <w:ind w:firstLine="1078"/>
        <w:jc w:val="left"/>
        <w:rPr>
          <w:rFonts w:ascii="Times New Roman" w:hAnsi="Times New Roman" w:eastAsia="宋体"/>
          <w:sz w:val="28"/>
          <w:szCs w:val="28"/>
        </w:rPr>
      </w:pPr>
      <w:r>
        <w:fldChar w:fldCharType="begin"/>
      </w:r>
      <w:r>
        <w:instrText xml:space="preserve"> HYPERLINK \l "_Toc15849" </w:instrText>
      </w:r>
      <w:r>
        <w:fldChar w:fldCharType="separate"/>
      </w:r>
      <w:r>
        <w:rPr>
          <w:rFonts w:ascii="Times New Roman" w:hAnsi="Times New Roman" w:eastAsia="仿宋_GB2312"/>
          <w:kern w:val="0"/>
          <w:sz w:val="32"/>
          <w:szCs w:val="32"/>
        </w:rPr>
        <w:t>4.4  应急响应措施</w:t>
      </w:r>
      <w:r>
        <w:rPr>
          <w:rFonts w:ascii="Times New Roman" w:hAnsi="Times New Roman" w:eastAsia="仿宋_GB2312"/>
          <w:kern w:val="0"/>
          <w:sz w:val="32"/>
          <w:szCs w:val="32"/>
        </w:rPr>
        <w:fldChar w:fldCharType="end"/>
      </w:r>
    </w:p>
    <w:p w14:paraId="2D5DDA11">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"_Toc26759" </w:instrText>
      </w:r>
      <w:r>
        <w:fldChar w:fldCharType="separate"/>
      </w:r>
      <w:r>
        <w:rPr>
          <w:rFonts w:ascii="Times New Roman" w:hAnsi="Times New Roman" w:eastAsia="仿宋_GB2312"/>
          <w:kern w:val="0"/>
          <w:sz w:val="32"/>
          <w:szCs w:val="32"/>
        </w:rPr>
        <w:t>4.5  信息报告和发布</w:t>
      </w:r>
      <w:r>
        <w:rPr>
          <w:rFonts w:ascii="Times New Roman" w:hAnsi="Times New Roman" w:eastAsia="仿宋_GB2312"/>
          <w:kern w:val="0"/>
          <w:sz w:val="32"/>
          <w:szCs w:val="32"/>
        </w:rPr>
        <w:fldChar w:fldCharType="end"/>
      </w:r>
    </w:p>
    <w:p w14:paraId="108DA8B9">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"_Toc8300" </w:instrText>
      </w:r>
      <w:r>
        <w:fldChar w:fldCharType="separate"/>
      </w:r>
      <w:r>
        <w:rPr>
          <w:rFonts w:ascii="Times New Roman" w:hAnsi="Times New Roman" w:eastAsia="仿宋_GB2312"/>
          <w:kern w:val="0"/>
          <w:sz w:val="32"/>
          <w:szCs w:val="32"/>
        </w:rPr>
        <w:t>4.6  社会动员和参与</w:t>
      </w:r>
      <w:r>
        <w:rPr>
          <w:rFonts w:ascii="Times New Roman" w:hAnsi="Times New Roman" w:eastAsia="仿宋_GB2312"/>
          <w:kern w:val="0"/>
          <w:sz w:val="32"/>
          <w:szCs w:val="32"/>
        </w:rPr>
        <w:fldChar w:fldCharType="end"/>
      </w:r>
    </w:p>
    <w:p w14:paraId="58DF2F5C">
      <w:pPr>
        <w:autoSpaceDE w:val="0"/>
        <w:autoSpaceDN w:val="0"/>
        <w:adjustRightInd w:val="0"/>
        <w:spacing w:line="540" w:lineRule="exact"/>
        <w:ind w:firstLine="1078"/>
        <w:jc w:val="left"/>
        <w:rPr>
          <w:rFonts w:ascii="Times New Roman" w:hAnsi="Times New Roman" w:eastAsia="宋体"/>
          <w:sz w:val="28"/>
          <w:szCs w:val="28"/>
        </w:rPr>
      </w:pPr>
      <w:r>
        <w:fldChar w:fldCharType="begin"/>
      </w:r>
      <w:r>
        <w:instrText xml:space="preserve"> HYPERLINK \l "_Toc13487" </w:instrText>
      </w:r>
      <w:r>
        <w:fldChar w:fldCharType="separate"/>
      </w:r>
      <w:r>
        <w:rPr>
          <w:rFonts w:ascii="Times New Roman" w:hAnsi="Times New Roman" w:eastAsia="仿宋_GB2312"/>
          <w:kern w:val="0"/>
          <w:sz w:val="32"/>
          <w:szCs w:val="32"/>
        </w:rPr>
        <w:t>4.7  应急响应变更和结束</w:t>
      </w:r>
      <w:r>
        <w:rPr>
          <w:rFonts w:ascii="Times New Roman" w:hAnsi="Times New Roman" w:eastAsia="仿宋_GB2312"/>
          <w:kern w:val="0"/>
          <w:sz w:val="32"/>
          <w:szCs w:val="32"/>
        </w:rPr>
        <w:fldChar w:fldCharType="end"/>
      </w:r>
    </w:p>
    <w:p w14:paraId="3111581E">
      <w:pPr>
        <w:pStyle w:val="53"/>
        <w:spacing w:line="540" w:lineRule="exact"/>
        <w:jc w:val="left"/>
        <w:rPr>
          <w:rFonts w:eastAsia="黑体"/>
          <w:sz w:val="32"/>
          <w:szCs w:val="32"/>
        </w:rPr>
      </w:pPr>
      <w:r>
        <w:fldChar w:fldCharType="begin"/>
      </w:r>
      <w:r>
        <w:instrText xml:space="preserve"> HYPERLINK \l "_Toc23166" </w:instrText>
      </w:r>
      <w:r>
        <w:fldChar w:fldCharType="separate"/>
      </w:r>
      <w:r>
        <w:rPr>
          <w:rFonts w:eastAsia="黑体"/>
          <w:sz w:val="32"/>
          <w:szCs w:val="32"/>
        </w:rPr>
        <w:t>5  保障措施</w:t>
      </w:r>
      <w:r>
        <w:rPr>
          <w:rFonts w:eastAsia="黑体"/>
          <w:sz w:val="32"/>
          <w:szCs w:val="32"/>
        </w:rPr>
        <w:fldChar w:fldCharType="end"/>
      </w:r>
    </w:p>
    <w:p w14:paraId="6148BD0D">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"_Toc15868" </w:instrText>
      </w:r>
      <w:r>
        <w:fldChar w:fldCharType="separate"/>
      </w:r>
      <w:r>
        <w:rPr>
          <w:rFonts w:ascii="Times New Roman" w:hAnsi="Times New Roman" w:eastAsia="仿宋_GB2312"/>
          <w:kern w:val="0"/>
          <w:sz w:val="32"/>
          <w:szCs w:val="32"/>
        </w:rPr>
        <w:t>5.1  组织保障</w:t>
      </w:r>
      <w:r>
        <w:rPr>
          <w:rFonts w:ascii="Times New Roman" w:hAnsi="Times New Roman" w:eastAsia="仿宋_GB2312"/>
          <w:kern w:val="0"/>
          <w:sz w:val="32"/>
          <w:szCs w:val="32"/>
        </w:rPr>
        <w:fldChar w:fldCharType="end"/>
      </w:r>
    </w:p>
    <w:p w14:paraId="1063F1CC">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"_Toc24243" </w:instrText>
      </w:r>
      <w:r>
        <w:fldChar w:fldCharType="separate"/>
      </w:r>
      <w:r>
        <w:rPr>
          <w:rFonts w:ascii="Times New Roman" w:hAnsi="Times New Roman" w:eastAsia="仿宋_GB2312"/>
          <w:kern w:val="0"/>
          <w:sz w:val="32"/>
          <w:szCs w:val="32"/>
        </w:rPr>
        <w:t>5.2  资金保障</w:t>
      </w:r>
      <w:r>
        <w:rPr>
          <w:rFonts w:ascii="Times New Roman" w:hAnsi="Times New Roman" w:eastAsia="仿宋_GB2312"/>
          <w:kern w:val="0"/>
          <w:sz w:val="32"/>
          <w:szCs w:val="32"/>
        </w:rPr>
        <w:fldChar w:fldCharType="end"/>
      </w:r>
    </w:p>
    <w:p w14:paraId="315D0743">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"_Toc32039" </w:instrText>
      </w:r>
      <w:r>
        <w:fldChar w:fldCharType="separate"/>
      </w:r>
      <w:r>
        <w:rPr>
          <w:rFonts w:ascii="Times New Roman" w:hAnsi="Times New Roman" w:eastAsia="仿宋_GB2312"/>
          <w:kern w:val="0"/>
          <w:sz w:val="32"/>
          <w:szCs w:val="32"/>
        </w:rPr>
        <w:t>5.3  物资保障</w:t>
      </w:r>
      <w:r>
        <w:rPr>
          <w:rFonts w:ascii="Times New Roman" w:hAnsi="Times New Roman" w:eastAsia="仿宋_GB2312"/>
          <w:kern w:val="0"/>
          <w:sz w:val="32"/>
          <w:szCs w:val="32"/>
        </w:rPr>
        <w:fldChar w:fldCharType="end"/>
      </w:r>
    </w:p>
    <w:p w14:paraId="5EDBDD79">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"_Toc14709" </w:instrText>
      </w:r>
      <w:r>
        <w:fldChar w:fldCharType="separate"/>
      </w:r>
      <w:r>
        <w:rPr>
          <w:rFonts w:ascii="Times New Roman" w:hAnsi="Times New Roman" w:eastAsia="仿宋_GB2312"/>
          <w:kern w:val="0"/>
          <w:sz w:val="32"/>
          <w:szCs w:val="32"/>
        </w:rPr>
        <w:t>5.4  队伍保障</w:t>
      </w:r>
      <w:r>
        <w:rPr>
          <w:rFonts w:ascii="Times New Roman" w:hAnsi="Times New Roman" w:eastAsia="仿宋_GB2312"/>
          <w:kern w:val="0"/>
          <w:sz w:val="32"/>
          <w:szCs w:val="32"/>
        </w:rPr>
        <w:fldChar w:fldCharType="end"/>
      </w:r>
    </w:p>
    <w:p w14:paraId="6C294573">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"_Toc12607" </w:instrText>
      </w:r>
      <w:r>
        <w:fldChar w:fldCharType="separate"/>
      </w:r>
      <w:r>
        <w:rPr>
          <w:rFonts w:ascii="Times New Roman" w:hAnsi="Times New Roman" w:eastAsia="仿宋_GB2312"/>
          <w:kern w:val="0"/>
          <w:sz w:val="32"/>
          <w:szCs w:val="32"/>
        </w:rPr>
        <w:t>5.5  技术保障</w:t>
      </w:r>
      <w:r>
        <w:rPr>
          <w:rFonts w:ascii="Times New Roman" w:hAnsi="Times New Roman" w:eastAsia="仿宋_GB2312"/>
          <w:kern w:val="0"/>
          <w:sz w:val="32"/>
          <w:szCs w:val="32"/>
        </w:rPr>
        <w:fldChar w:fldCharType="end"/>
      </w:r>
    </w:p>
    <w:p w14:paraId="3A607862">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"_Toc10420" </w:instrText>
      </w:r>
      <w:r>
        <w:fldChar w:fldCharType="separate"/>
      </w:r>
      <w:r>
        <w:rPr>
          <w:rFonts w:ascii="Times New Roman" w:hAnsi="Times New Roman" w:eastAsia="仿宋_GB2312"/>
          <w:kern w:val="0"/>
          <w:sz w:val="32"/>
          <w:szCs w:val="32"/>
        </w:rPr>
        <w:t>5.6 治安保障</w:t>
      </w:r>
      <w:r>
        <w:rPr>
          <w:rFonts w:ascii="Times New Roman" w:hAnsi="Times New Roman" w:eastAsia="仿宋_GB2312"/>
          <w:kern w:val="0"/>
          <w:sz w:val="32"/>
          <w:szCs w:val="32"/>
        </w:rPr>
        <w:fldChar w:fldCharType="end"/>
      </w:r>
    </w:p>
    <w:p w14:paraId="37CC2DDB">
      <w:pPr>
        <w:autoSpaceDE w:val="0"/>
        <w:autoSpaceDN w:val="0"/>
        <w:adjustRightInd w:val="0"/>
        <w:spacing w:line="540" w:lineRule="exact"/>
        <w:ind w:firstLine="1078"/>
        <w:jc w:val="left"/>
        <w:rPr>
          <w:rFonts w:ascii="Times New Roman" w:hAnsi="Times New Roman" w:eastAsia="宋体"/>
          <w:sz w:val="28"/>
          <w:szCs w:val="28"/>
        </w:rPr>
      </w:pPr>
      <w:r>
        <w:fldChar w:fldCharType="begin"/>
      </w:r>
      <w:r>
        <w:instrText xml:space="preserve"> HYPERLINK \l "_Toc14091" </w:instrText>
      </w:r>
      <w:r>
        <w:fldChar w:fldCharType="separate"/>
      </w:r>
      <w:r>
        <w:rPr>
          <w:rFonts w:ascii="Times New Roman" w:hAnsi="Times New Roman" w:eastAsia="仿宋_GB2312"/>
          <w:kern w:val="0"/>
          <w:sz w:val="32"/>
          <w:szCs w:val="32"/>
        </w:rPr>
        <w:t>5.7 宣传、培训和演练</w:t>
      </w:r>
      <w:r>
        <w:rPr>
          <w:rFonts w:ascii="Times New Roman" w:hAnsi="Times New Roman" w:eastAsia="仿宋_GB2312"/>
          <w:kern w:val="0"/>
          <w:sz w:val="32"/>
          <w:szCs w:val="32"/>
        </w:rPr>
        <w:fldChar w:fldCharType="end"/>
      </w:r>
    </w:p>
    <w:p w14:paraId="22D5A211">
      <w:pPr>
        <w:pStyle w:val="53"/>
        <w:spacing w:line="540" w:lineRule="exact"/>
        <w:jc w:val="left"/>
        <w:rPr>
          <w:rFonts w:eastAsia="黑体"/>
          <w:sz w:val="32"/>
          <w:szCs w:val="32"/>
        </w:rPr>
      </w:pPr>
      <w:r>
        <w:fldChar w:fldCharType="begin"/>
      </w:r>
      <w:r>
        <w:instrText xml:space="preserve"> HYPERLINK \l "_Toc14925" </w:instrText>
      </w:r>
      <w:r>
        <w:fldChar w:fldCharType="separate"/>
      </w:r>
      <w:r>
        <w:rPr>
          <w:rFonts w:eastAsia="黑体"/>
          <w:sz w:val="32"/>
          <w:szCs w:val="32"/>
        </w:rPr>
        <w:t>6  善后工作</w:t>
      </w:r>
      <w:r>
        <w:rPr>
          <w:rFonts w:eastAsia="黑体"/>
          <w:sz w:val="32"/>
          <w:szCs w:val="32"/>
        </w:rPr>
        <w:fldChar w:fldCharType="end"/>
      </w:r>
    </w:p>
    <w:p w14:paraId="01E8449E">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"_Toc16484" </w:instrText>
      </w:r>
      <w:r>
        <w:fldChar w:fldCharType="separate"/>
      </w:r>
      <w:r>
        <w:rPr>
          <w:rFonts w:ascii="Times New Roman" w:hAnsi="Times New Roman" w:eastAsia="仿宋_GB2312"/>
          <w:kern w:val="0"/>
          <w:sz w:val="32"/>
          <w:szCs w:val="32"/>
        </w:rPr>
        <w:t>6.1  灾后重建</w:t>
      </w:r>
      <w:r>
        <w:rPr>
          <w:rFonts w:ascii="Times New Roman" w:hAnsi="Times New Roman" w:eastAsia="仿宋_GB2312"/>
          <w:kern w:val="0"/>
          <w:sz w:val="32"/>
          <w:szCs w:val="32"/>
        </w:rPr>
        <w:fldChar w:fldCharType="end"/>
      </w:r>
    </w:p>
    <w:p w14:paraId="2CA26049">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"_Toc28285" </w:instrText>
      </w:r>
      <w:r>
        <w:fldChar w:fldCharType="separate"/>
      </w:r>
      <w:r>
        <w:rPr>
          <w:rFonts w:ascii="Times New Roman" w:hAnsi="Times New Roman" w:eastAsia="仿宋_GB2312"/>
          <w:kern w:val="0"/>
          <w:sz w:val="32"/>
          <w:szCs w:val="32"/>
        </w:rPr>
        <w:t>6.2  水毁修复</w:t>
      </w:r>
      <w:r>
        <w:rPr>
          <w:rFonts w:ascii="Times New Roman" w:hAnsi="Times New Roman" w:eastAsia="仿宋_GB2312"/>
          <w:kern w:val="0"/>
          <w:sz w:val="32"/>
          <w:szCs w:val="32"/>
        </w:rPr>
        <w:fldChar w:fldCharType="end"/>
      </w:r>
    </w:p>
    <w:p w14:paraId="4442C42E">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"_Toc4935" </w:instrText>
      </w:r>
      <w:r>
        <w:fldChar w:fldCharType="separate"/>
      </w:r>
      <w:r>
        <w:rPr>
          <w:rFonts w:ascii="Times New Roman" w:hAnsi="Times New Roman" w:eastAsia="仿宋_GB2312"/>
          <w:kern w:val="0"/>
          <w:sz w:val="32"/>
          <w:szCs w:val="32"/>
        </w:rPr>
        <w:t>6.3  物资补充</w:t>
      </w:r>
      <w:r>
        <w:rPr>
          <w:rFonts w:ascii="Times New Roman" w:hAnsi="Times New Roman" w:eastAsia="仿宋_GB2312"/>
          <w:kern w:val="0"/>
          <w:sz w:val="32"/>
          <w:szCs w:val="32"/>
        </w:rPr>
        <w:fldChar w:fldCharType="end"/>
      </w:r>
    </w:p>
    <w:p w14:paraId="46420822">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"_Toc1818" </w:instrText>
      </w:r>
      <w:r>
        <w:fldChar w:fldCharType="separate"/>
      </w:r>
      <w:r>
        <w:rPr>
          <w:rFonts w:ascii="Times New Roman" w:hAnsi="Times New Roman" w:eastAsia="仿宋_GB2312"/>
          <w:kern w:val="0"/>
          <w:sz w:val="32"/>
          <w:szCs w:val="32"/>
        </w:rPr>
        <w:t>6.4  补偿要求</w:t>
      </w:r>
      <w:r>
        <w:rPr>
          <w:rFonts w:ascii="Times New Roman" w:hAnsi="Times New Roman" w:eastAsia="仿宋_GB2312"/>
          <w:kern w:val="0"/>
          <w:sz w:val="32"/>
          <w:szCs w:val="32"/>
        </w:rPr>
        <w:fldChar w:fldCharType="end"/>
      </w:r>
    </w:p>
    <w:p w14:paraId="23B5483F">
      <w:pPr>
        <w:autoSpaceDE w:val="0"/>
        <w:autoSpaceDN w:val="0"/>
        <w:adjustRightInd w:val="0"/>
        <w:spacing w:line="540" w:lineRule="exact"/>
        <w:ind w:firstLine="1078"/>
        <w:jc w:val="left"/>
        <w:rPr>
          <w:rFonts w:ascii="Times New Roman" w:hAnsi="Times New Roman" w:eastAsia="宋体"/>
          <w:sz w:val="28"/>
          <w:szCs w:val="28"/>
        </w:rPr>
      </w:pPr>
      <w:r>
        <w:fldChar w:fldCharType="begin"/>
      </w:r>
      <w:r>
        <w:instrText xml:space="preserve"> HYPERLINK \l "_Toc30397" </w:instrText>
      </w:r>
      <w:r>
        <w:fldChar w:fldCharType="separate"/>
      </w:r>
      <w:r>
        <w:rPr>
          <w:rFonts w:ascii="Times New Roman" w:hAnsi="Times New Roman" w:eastAsia="仿宋_GB2312"/>
          <w:kern w:val="0"/>
          <w:sz w:val="32"/>
          <w:szCs w:val="32"/>
        </w:rPr>
        <w:t>6.5  总结评估</w:t>
      </w:r>
      <w:r>
        <w:rPr>
          <w:rFonts w:ascii="Times New Roman" w:hAnsi="Times New Roman" w:eastAsia="仿宋_GB2312"/>
          <w:kern w:val="0"/>
          <w:sz w:val="32"/>
          <w:szCs w:val="32"/>
        </w:rPr>
        <w:fldChar w:fldCharType="end"/>
      </w:r>
    </w:p>
    <w:p w14:paraId="5DD32C02">
      <w:pPr>
        <w:pStyle w:val="53"/>
        <w:spacing w:line="540" w:lineRule="exact"/>
        <w:jc w:val="left"/>
        <w:rPr>
          <w:rFonts w:eastAsia="黑体"/>
          <w:sz w:val="32"/>
          <w:szCs w:val="32"/>
        </w:rPr>
      </w:pPr>
      <w:r>
        <w:fldChar w:fldCharType="begin"/>
      </w:r>
      <w:r>
        <w:instrText xml:space="preserve"> HYPERLINK \l "_Toc12652" </w:instrText>
      </w:r>
      <w:r>
        <w:fldChar w:fldCharType="separate"/>
      </w:r>
      <w:r>
        <w:rPr>
          <w:rFonts w:eastAsia="黑体"/>
          <w:sz w:val="32"/>
          <w:szCs w:val="32"/>
        </w:rPr>
        <w:t>7  预案管理</w:t>
      </w:r>
      <w:r>
        <w:rPr>
          <w:rFonts w:eastAsia="黑体"/>
          <w:sz w:val="32"/>
          <w:szCs w:val="32"/>
        </w:rPr>
        <w:fldChar w:fldCharType="end"/>
      </w:r>
    </w:p>
    <w:p w14:paraId="427B1923">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"_Toc25549" </w:instrText>
      </w:r>
      <w:r>
        <w:fldChar w:fldCharType="separate"/>
      </w:r>
      <w:r>
        <w:rPr>
          <w:rFonts w:ascii="Times New Roman" w:hAnsi="Times New Roman" w:eastAsia="仿宋_GB2312"/>
          <w:kern w:val="0"/>
          <w:sz w:val="32"/>
          <w:szCs w:val="32"/>
        </w:rPr>
        <w:t>7.1  预案修订</w:t>
      </w:r>
      <w:r>
        <w:rPr>
          <w:rFonts w:ascii="Times New Roman" w:hAnsi="Times New Roman" w:eastAsia="仿宋_GB2312"/>
          <w:kern w:val="0"/>
          <w:sz w:val="32"/>
          <w:szCs w:val="32"/>
        </w:rPr>
        <w:fldChar w:fldCharType="end"/>
      </w:r>
    </w:p>
    <w:p w14:paraId="6E553F4E">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"_Toc26574" </w:instrText>
      </w:r>
      <w:r>
        <w:fldChar w:fldCharType="separate"/>
      </w:r>
      <w:r>
        <w:rPr>
          <w:rFonts w:ascii="Times New Roman" w:hAnsi="Times New Roman" w:eastAsia="仿宋_GB2312"/>
          <w:kern w:val="0"/>
          <w:sz w:val="32"/>
          <w:szCs w:val="32"/>
        </w:rPr>
        <w:t>7.2  预案解释部门</w:t>
      </w:r>
      <w:r>
        <w:rPr>
          <w:rFonts w:ascii="Times New Roman" w:hAnsi="Times New Roman" w:eastAsia="仿宋_GB2312"/>
          <w:kern w:val="0"/>
          <w:sz w:val="32"/>
          <w:szCs w:val="32"/>
        </w:rPr>
        <w:fldChar w:fldCharType="end"/>
      </w:r>
    </w:p>
    <w:p w14:paraId="516964C9">
      <w:pPr>
        <w:autoSpaceDE w:val="0"/>
        <w:autoSpaceDN w:val="0"/>
        <w:adjustRightInd w:val="0"/>
        <w:spacing w:line="540" w:lineRule="exact"/>
        <w:ind w:firstLine="1078"/>
        <w:jc w:val="left"/>
        <w:rPr>
          <w:rFonts w:ascii="Times New Roman" w:hAnsi="Times New Roman" w:eastAsia="宋体"/>
          <w:sz w:val="28"/>
          <w:szCs w:val="28"/>
        </w:rPr>
      </w:pPr>
      <w:r>
        <w:fldChar w:fldCharType="begin"/>
      </w:r>
      <w:r>
        <w:instrText xml:space="preserve"> HYPERLINK \l "_Toc777" </w:instrText>
      </w:r>
      <w:r>
        <w:fldChar w:fldCharType="separate"/>
      </w:r>
      <w:r>
        <w:rPr>
          <w:rFonts w:ascii="Times New Roman" w:hAnsi="Times New Roman" w:eastAsia="仿宋_GB2312"/>
          <w:kern w:val="0"/>
          <w:sz w:val="32"/>
          <w:szCs w:val="32"/>
        </w:rPr>
        <w:t>7.3  预案实施时间</w:t>
      </w:r>
      <w:r>
        <w:rPr>
          <w:rFonts w:ascii="Times New Roman" w:hAnsi="Times New Roman" w:eastAsia="仿宋_GB2312"/>
          <w:kern w:val="0"/>
          <w:sz w:val="32"/>
          <w:szCs w:val="32"/>
        </w:rPr>
        <w:fldChar w:fldCharType="end"/>
      </w:r>
    </w:p>
    <w:p w14:paraId="0559A67A">
      <w:pPr>
        <w:pStyle w:val="53"/>
        <w:spacing w:line="540" w:lineRule="exact"/>
        <w:jc w:val="left"/>
        <w:rPr>
          <w:rFonts w:eastAsia="黑体"/>
          <w:sz w:val="32"/>
          <w:szCs w:val="32"/>
        </w:rPr>
      </w:pPr>
      <w:r>
        <w:fldChar w:fldCharType="begin"/>
      </w:r>
      <w:r>
        <w:instrText xml:space="preserve"> HYPERLINK \l "_Toc4499" </w:instrText>
      </w:r>
      <w:r>
        <w:fldChar w:fldCharType="separate"/>
      </w:r>
      <w:r>
        <w:rPr>
          <w:rFonts w:eastAsia="黑体"/>
          <w:sz w:val="32"/>
          <w:szCs w:val="32"/>
        </w:rPr>
        <w:t>8  附表、附图、附件</w:t>
      </w:r>
      <w:r>
        <w:rPr>
          <w:rFonts w:eastAsia="黑体"/>
          <w:sz w:val="32"/>
          <w:szCs w:val="32"/>
        </w:rPr>
        <w:fldChar w:fldCharType="end"/>
      </w:r>
    </w:p>
    <w:p w14:paraId="6D0B1ADB">
      <w:pPr>
        <w:spacing w:line="360" w:lineRule="auto"/>
        <w:ind w:firstLine="560" w:firstLineChars="200"/>
        <w:jc w:val="left"/>
        <w:rPr>
          <w:rFonts w:ascii="Times New Roman" w:hAnsi="Times New Roman" w:eastAsia="楷体"/>
          <w:sz w:val="28"/>
          <w:szCs w:val="28"/>
        </w:rPr>
      </w:pPr>
      <w:r>
        <w:rPr>
          <w:rFonts w:ascii="Times New Roman" w:hAnsi="Times New Roman" w:eastAsia="楷体"/>
          <w:sz w:val="28"/>
          <w:szCs w:val="28"/>
        </w:rPr>
        <w:fldChar w:fldCharType="end"/>
      </w:r>
      <w:bookmarkStart w:id="10" w:name="_Toc30260"/>
      <w:bookmarkStart w:id="11" w:name="_Toc36651981"/>
      <w:bookmarkStart w:id="12" w:name="_Toc23843"/>
      <w:bookmarkStart w:id="13" w:name="_Toc26138"/>
      <w:bookmarkStart w:id="14" w:name="_Toc18096"/>
      <w:bookmarkStart w:id="15" w:name="_Toc16282"/>
      <w:bookmarkStart w:id="16" w:name="_Toc42177981"/>
    </w:p>
    <w:p w14:paraId="5066DACC">
      <w:pPr>
        <w:adjustRightInd w:val="0"/>
        <w:snapToGrid w:val="0"/>
        <w:spacing w:line="560" w:lineRule="exact"/>
        <w:ind w:firstLine="640" w:firstLineChars="200"/>
        <w:rPr>
          <w:rFonts w:ascii="Times New Roman" w:hAnsi="Times New Roman" w:eastAsia="黑体"/>
          <w:kern w:val="44"/>
          <w:sz w:val="32"/>
          <w:szCs w:val="32"/>
        </w:rPr>
      </w:pPr>
      <w:r>
        <w:rPr>
          <w:rFonts w:ascii="Times New Roman" w:hAnsi="Times New Roman" w:eastAsia="黑体"/>
          <w:kern w:val="44"/>
          <w:sz w:val="32"/>
          <w:szCs w:val="32"/>
        </w:rPr>
        <w:t>1  总则</w:t>
      </w:r>
      <w:bookmarkEnd w:id="10"/>
      <w:bookmarkEnd w:id="11"/>
      <w:bookmarkEnd w:id="12"/>
      <w:bookmarkEnd w:id="13"/>
      <w:bookmarkEnd w:id="14"/>
      <w:bookmarkEnd w:id="15"/>
      <w:bookmarkEnd w:id="16"/>
    </w:p>
    <w:p w14:paraId="3E6DC190">
      <w:pPr>
        <w:adjustRightInd w:val="0"/>
        <w:snapToGrid w:val="0"/>
        <w:spacing w:line="560" w:lineRule="exact"/>
        <w:ind w:firstLine="640" w:firstLineChars="200"/>
        <w:outlineLvl w:val="2"/>
        <w:rPr>
          <w:rFonts w:ascii="Times New Roman" w:hAnsi="Times New Roman" w:eastAsia="楷体_GB2312"/>
          <w:sz w:val="32"/>
          <w:szCs w:val="32"/>
        </w:rPr>
      </w:pPr>
      <w:bookmarkStart w:id="17" w:name="_Toc42177982"/>
      <w:bookmarkStart w:id="18" w:name="_Toc36651982"/>
      <w:bookmarkStart w:id="19" w:name="_Toc8045"/>
      <w:r>
        <w:rPr>
          <w:rFonts w:ascii="Times New Roman" w:hAnsi="Times New Roman" w:eastAsia="楷体_GB2312"/>
          <w:sz w:val="32"/>
          <w:szCs w:val="32"/>
        </w:rPr>
        <w:t xml:space="preserve">1.1  </w:t>
      </w:r>
      <w:r>
        <w:rPr>
          <w:rFonts w:ascii="Times New Roman" w:hAnsi="Times New Roman" w:eastAsia="楷体"/>
          <w:sz w:val="32"/>
          <w:szCs w:val="32"/>
        </w:rPr>
        <w:t>编制</w:t>
      </w:r>
      <w:r>
        <w:rPr>
          <w:rFonts w:ascii="Times New Roman" w:hAnsi="Times New Roman" w:eastAsia="楷体_GB2312"/>
          <w:sz w:val="32"/>
          <w:szCs w:val="32"/>
        </w:rPr>
        <w:t>目的</w:t>
      </w:r>
      <w:bookmarkEnd w:id="17"/>
      <w:bookmarkEnd w:id="18"/>
      <w:bookmarkEnd w:id="19"/>
    </w:p>
    <w:p w14:paraId="2D07DE69">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做好洪涝干旱灾害的预防和处置工作，保证防汛抗旱工作依法、规范、有序进行，提高防汛抗旱能力，最大限度地减少水旱灾害损失，保障经济社会全面、协调、可持续发展。</w:t>
      </w:r>
    </w:p>
    <w:p w14:paraId="43403C19">
      <w:pPr>
        <w:adjustRightInd w:val="0"/>
        <w:snapToGrid w:val="0"/>
        <w:spacing w:line="560" w:lineRule="exact"/>
        <w:ind w:firstLine="640" w:firstLineChars="200"/>
        <w:outlineLvl w:val="2"/>
        <w:rPr>
          <w:rFonts w:ascii="Times New Roman" w:hAnsi="Times New Roman" w:eastAsia="楷体_GB2312"/>
          <w:sz w:val="32"/>
          <w:szCs w:val="32"/>
        </w:rPr>
      </w:pPr>
      <w:bookmarkStart w:id="20" w:name="_Toc42177983"/>
      <w:bookmarkStart w:id="21" w:name="_Toc36651983"/>
      <w:bookmarkStart w:id="22" w:name="_Toc114659176"/>
      <w:bookmarkStart w:id="23" w:name="_Toc618"/>
      <w:r>
        <w:rPr>
          <w:rFonts w:ascii="Times New Roman" w:hAnsi="Times New Roman" w:eastAsia="楷体_GB2312"/>
          <w:sz w:val="32"/>
          <w:szCs w:val="32"/>
        </w:rPr>
        <w:t>1.2  编制依据</w:t>
      </w:r>
      <w:bookmarkEnd w:id="20"/>
      <w:bookmarkEnd w:id="21"/>
      <w:bookmarkEnd w:id="22"/>
      <w:bookmarkEnd w:id="23"/>
    </w:p>
    <w:p w14:paraId="52335C88">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中华人民共和国防洪法》《中华人民共和国突发事件应对法》《中华人民共和国防汛条例》《中华人民共和国抗旱条例》《中华人民共和国河道管理条例》《国家突发公共事件总体应急预案》《国家防汛抗旱应急预案》以及《江苏省防洪条例》《江苏省河道管理条例》《江苏省水利工程管理条例》《江苏省突发公共事件总体应急预案》《江苏省水情预警发布管理办法（试行）》《堤防防汛抢险手册》《连云港市突发事件总体应急预案》《连云港市防汛抗旱应急预案》等法律法规和流域规划、区域规划及相关流</w:t>
      </w:r>
      <w:r>
        <w:rPr>
          <w:rFonts w:ascii="Times New Roman" w:hAnsi="Times New Roman" w:eastAsia="宋体"/>
          <w:sz w:val="32"/>
          <w:szCs w:val="32"/>
        </w:rPr>
        <w:t>域</w:t>
      </w:r>
      <w:r>
        <w:rPr>
          <w:rFonts w:ascii="Times New Roman" w:hAnsi="Times New Roman" w:eastAsia="仿宋_GB2312"/>
          <w:sz w:val="32"/>
          <w:szCs w:val="32"/>
        </w:rPr>
        <w:t>性、区域性水利工程调度方案，结合连云港经济技术开发区（以下简称“开发区”或“区”，下同）实际进行编制。</w:t>
      </w:r>
    </w:p>
    <w:p w14:paraId="4C50FDCB">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24" w:name="_Toc42177984"/>
      <w:bookmarkStart w:id="25" w:name="_Toc114659177"/>
      <w:bookmarkStart w:id="26" w:name="_Toc2954"/>
      <w:bookmarkStart w:id="27" w:name="_Toc36651984"/>
      <w:r>
        <w:rPr>
          <w:rFonts w:ascii="Times New Roman" w:hAnsi="Times New Roman" w:eastAsia="楷体_GB2312"/>
          <w:sz w:val="32"/>
          <w:szCs w:val="32"/>
        </w:rPr>
        <w:t>1.3  适用范围</w:t>
      </w:r>
      <w:bookmarkEnd w:id="24"/>
      <w:bookmarkEnd w:id="25"/>
      <w:bookmarkEnd w:id="26"/>
      <w:bookmarkEnd w:id="27"/>
    </w:p>
    <w:p w14:paraId="64853F86">
      <w:pPr>
        <w:adjustRightInd w:val="0"/>
        <w:snapToGrid w:val="0"/>
        <w:spacing w:line="570" w:lineRule="exact"/>
        <w:ind w:firstLine="640" w:firstLineChars="200"/>
        <w:rPr>
          <w:rFonts w:ascii="Times New Roman" w:hAnsi="Times New Roman" w:eastAsia="仿宋_GB2312"/>
          <w:iCs/>
          <w:sz w:val="32"/>
          <w:szCs w:val="32"/>
        </w:rPr>
      </w:pPr>
      <w:r>
        <w:rPr>
          <w:rFonts w:ascii="Times New Roman" w:hAnsi="Times New Roman" w:eastAsia="仿宋_GB2312"/>
          <w:sz w:val="32"/>
          <w:szCs w:val="32"/>
        </w:rPr>
        <w:t>适用于开发区境内发生的（</w:t>
      </w:r>
      <w:r>
        <w:rPr>
          <w:rFonts w:ascii="Times New Roman" w:hAnsi="Times New Roman" w:eastAsia="仿宋_GB2312"/>
          <w:iCs/>
          <w:sz w:val="32"/>
          <w:szCs w:val="32"/>
        </w:rPr>
        <w:t>以及相邻区发生但对开发区产生重大影响的）</w:t>
      </w:r>
      <w:r>
        <w:rPr>
          <w:rFonts w:ascii="Times New Roman" w:hAnsi="Times New Roman" w:eastAsia="仿宋_GB2312"/>
          <w:sz w:val="32"/>
          <w:szCs w:val="32"/>
        </w:rPr>
        <w:t>洪涝干旱灾害预防和应急处置</w:t>
      </w:r>
      <w:r>
        <w:rPr>
          <w:rFonts w:ascii="Times New Roman" w:hAnsi="Times New Roman" w:eastAsia="仿宋_GB2312"/>
          <w:iCs/>
          <w:sz w:val="32"/>
          <w:szCs w:val="32"/>
        </w:rPr>
        <w:t>。</w:t>
      </w:r>
    </w:p>
    <w:p w14:paraId="258FC9DB">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灾害包括：河库洪水、雨涝、风暴潮、山洪、干旱和水库垮坝、堤防决口、涵闸倒塌等及其引发的次生、衍生灾害。</w:t>
      </w:r>
    </w:p>
    <w:p w14:paraId="562BD770">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28" w:name="_Toc11474"/>
      <w:bookmarkStart w:id="29" w:name="_Toc36651985"/>
      <w:bookmarkStart w:id="30" w:name="_Toc114659178"/>
      <w:bookmarkStart w:id="31" w:name="_Toc42177985"/>
      <w:r>
        <w:rPr>
          <w:rFonts w:ascii="Times New Roman" w:hAnsi="Times New Roman" w:eastAsia="楷体_GB2312"/>
          <w:sz w:val="32"/>
          <w:szCs w:val="32"/>
        </w:rPr>
        <w:t>1.4  工作原则</w:t>
      </w:r>
      <w:bookmarkEnd w:id="28"/>
      <w:bookmarkEnd w:id="29"/>
      <w:bookmarkEnd w:id="30"/>
      <w:bookmarkEnd w:id="31"/>
    </w:p>
    <w:p w14:paraId="545746A3">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1.4.1  以人为本，安全第一。坚持把保障人民生命财产安全放在首位，最大程度地减少灾害造成的危害和损失。</w:t>
      </w:r>
    </w:p>
    <w:p w14:paraId="4E192C8D">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1.4.2  统一领导，分级分部门负责。各级政府是本行政区域内防汛抗旱工作的责任主体，实行行政首长负责制，统一指挥、分级分部门负责。</w:t>
      </w:r>
    </w:p>
    <w:p w14:paraId="5918B1D0">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1.4.3  </w:t>
      </w:r>
      <w:r>
        <w:rPr>
          <w:rFonts w:ascii="Times New Roman" w:hAnsi="Times New Roman" w:eastAsia="仿宋_GB2312"/>
          <w:kern w:val="0"/>
          <w:sz w:val="32"/>
          <w:szCs w:val="32"/>
        </w:rPr>
        <w:t>以防为主</w:t>
      </w:r>
      <w:r>
        <w:rPr>
          <w:rFonts w:ascii="Times New Roman" w:hAnsi="Times New Roman" w:eastAsia="仿宋_GB2312"/>
          <w:sz w:val="32"/>
          <w:szCs w:val="32"/>
        </w:rPr>
        <w:t>，</w:t>
      </w:r>
      <w:r>
        <w:rPr>
          <w:rFonts w:ascii="Times New Roman" w:hAnsi="Times New Roman" w:eastAsia="仿宋_GB2312"/>
          <w:kern w:val="0"/>
          <w:sz w:val="32"/>
          <w:szCs w:val="32"/>
        </w:rPr>
        <w:t>防抗救结合。</w:t>
      </w:r>
      <w:r>
        <w:rPr>
          <w:rFonts w:ascii="Times New Roman" w:hAnsi="Times New Roman" w:eastAsia="仿宋_GB2312"/>
          <w:sz w:val="32"/>
          <w:szCs w:val="32"/>
        </w:rPr>
        <w:t>预防与处置相结合，常态与非常态相结合，强化预防和应急处置的规范化、制度化和法制化。</w:t>
      </w:r>
    </w:p>
    <w:p w14:paraId="67F5BDB9">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1.4.4  统筹兼顾，服从全局。坚持因地制宜，城乡统筹，流域区域兼顾，突出重点，局部利益服从全局利益。 </w:t>
      </w:r>
    </w:p>
    <w:p w14:paraId="7884E378">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1.4.5  快速反应，协同应对。坚持第一时间响应，实行社会参与、军民结合、专群结合、平战结合、上下联动。</w:t>
      </w:r>
    </w:p>
    <w:p w14:paraId="3640A963">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1.4.6  依靠科学，依法规范。采用先进的应急装备和技术，提高应急能力。确保预案的科学性、针对性和可操作性，依法规范应急工作。 </w:t>
      </w:r>
    </w:p>
    <w:p w14:paraId="492E6AB2">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32" w:name="_Toc11206"/>
      <w:bookmarkStart w:id="33" w:name="_Toc23184"/>
      <w:bookmarkStart w:id="34" w:name="_Toc9652"/>
      <w:bookmarkStart w:id="35" w:name="_Toc23090"/>
      <w:bookmarkStart w:id="36" w:name="_Toc36992500"/>
      <w:bookmarkStart w:id="37" w:name="_Toc36992334"/>
      <w:r>
        <w:rPr>
          <w:rFonts w:ascii="Times New Roman" w:hAnsi="Times New Roman" w:eastAsia="楷体_GB2312"/>
          <w:sz w:val="32"/>
          <w:szCs w:val="32"/>
        </w:rPr>
        <w:t>1.5  防汛抗旱风险分析</w:t>
      </w:r>
      <w:bookmarkEnd w:id="32"/>
      <w:bookmarkEnd w:id="33"/>
      <w:bookmarkEnd w:id="34"/>
      <w:bookmarkEnd w:id="35"/>
      <w:bookmarkEnd w:id="36"/>
      <w:bookmarkEnd w:id="37"/>
    </w:p>
    <w:p w14:paraId="3B7183D9">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开发区位于连云港市东部城区，是首批国家级开发区，总面积126km</w:t>
      </w:r>
      <w:r>
        <w:rPr>
          <w:rFonts w:ascii="Times New Roman" w:hAnsi="Times New Roman" w:eastAsia="仿宋_GB2312"/>
          <w:sz w:val="32"/>
          <w:szCs w:val="32"/>
          <w:vertAlign w:val="superscript"/>
        </w:rPr>
        <w:t>2</w:t>
      </w:r>
      <w:r>
        <w:rPr>
          <w:rFonts w:ascii="Times New Roman" w:hAnsi="Times New Roman" w:eastAsia="仿宋_GB2312"/>
          <w:sz w:val="32"/>
          <w:szCs w:val="32"/>
        </w:rPr>
        <w:t>，辖朝阳、中云、猴嘴 3 个街道和台北、青口 2 个盐场，人口约 10 万人。目前，区内设有综合保税区、出口加工区、临港产业区、新医药产业基地四个主要功能园区，集聚中国建材等世界 500 强企业、跨国公司和央企投资企业等大型企业，是连云港经济发展的重要组成部分。</w:t>
      </w:r>
    </w:p>
    <w:p w14:paraId="0CA3F4D5">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1.5.1主要水系</w:t>
      </w:r>
    </w:p>
    <w:p w14:paraId="3777E20C">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开发区防洪体系包括现有3座小（1）型水库，朝阳水库、新县水库和胜利水库，2座小（2）型水库，黄泥塘水库和云门水库，水库总库容993.46万m</w:t>
      </w:r>
      <w:r>
        <w:rPr>
          <w:rFonts w:ascii="Times New Roman" w:hAnsi="Times New Roman" w:eastAsia="仿宋_GB2312"/>
          <w:sz w:val="32"/>
          <w:szCs w:val="32"/>
          <w:vertAlign w:val="superscript"/>
        </w:rPr>
        <w:t>3</w:t>
      </w:r>
      <w:r>
        <w:rPr>
          <w:rFonts w:ascii="Times New Roman" w:hAnsi="Times New Roman" w:eastAsia="仿宋_GB2312"/>
          <w:sz w:val="32"/>
          <w:szCs w:val="32"/>
        </w:rPr>
        <w:t>，防洪库容772.87万m</w:t>
      </w:r>
      <w:r>
        <w:rPr>
          <w:rFonts w:ascii="Times New Roman" w:hAnsi="Times New Roman" w:eastAsia="仿宋_GB2312"/>
          <w:sz w:val="32"/>
          <w:szCs w:val="32"/>
          <w:vertAlign w:val="superscript"/>
        </w:rPr>
        <w:t>3</w:t>
      </w:r>
      <w:r>
        <w:rPr>
          <w:rFonts w:ascii="Times New Roman" w:hAnsi="Times New Roman" w:eastAsia="仿宋_GB2312"/>
          <w:sz w:val="32"/>
          <w:szCs w:val="32"/>
        </w:rPr>
        <w:t xml:space="preserve"> ；塘坝9座，有效库容35.24万m</w:t>
      </w:r>
      <w:r>
        <w:rPr>
          <w:rFonts w:ascii="Times New Roman" w:hAnsi="Times New Roman" w:eastAsia="仿宋_GB2312"/>
          <w:sz w:val="32"/>
          <w:szCs w:val="32"/>
          <w:vertAlign w:val="superscript"/>
        </w:rPr>
        <w:t>3</w:t>
      </w:r>
      <w:r>
        <w:rPr>
          <w:rFonts w:ascii="Times New Roman" w:hAnsi="Times New Roman" w:eastAsia="仿宋_GB2312"/>
          <w:sz w:val="32"/>
          <w:szCs w:val="32"/>
        </w:rPr>
        <w:t>；县级河道10条，全长47.7km；乡级河道13条，全长26.36km；小型灌排闸11座。排涝体系主要包括排淡河排水片、临港产业区及连云新城排水片，东盐河（开发区段）和排淡河为本区的主要排水通道；新沭河为流经境内的重要泄洪河道。</w:t>
      </w:r>
    </w:p>
    <w:p w14:paraId="3A60C514">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（1）新沭河 </w:t>
      </w:r>
    </w:p>
    <w:p w14:paraId="1E27154B">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新沭河是为了分泄沭河洪水，于1949年进行“导沭经沙入海”工程，开通的山东大官庄—临洪口段新开河道，全长80km，其中石梁河水库以下段长45km，新沭河开发区境内长约8.0km。新沭河右堤（大浦闸至三洋港闸段）已按防洪100年一遇标准加固完成。</w:t>
      </w:r>
    </w:p>
    <w:p w14:paraId="3F00A490">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公兴港闸位于新沭河右堤8+570处，开发区境内，为涵洞式水闸，单孔，净宽4.0m，引水流量10m³/s。主要功能为防洪、引水，防洪标准100年一遇；公兴港闸换水控制范围为临港产业区片。临港产业区片换水所需最大容量为194.4万m</w:t>
      </w:r>
      <w:r>
        <w:rPr>
          <w:rFonts w:ascii="Times New Roman" w:hAnsi="Times New Roman" w:eastAsia="仿宋_GB2312"/>
          <w:sz w:val="32"/>
          <w:szCs w:val="32"/>
          <w:vertAlign w:val="superscript"/>
        </w:rPr>
        <w:t>3</w:t>
      </w:r>
      <w:r>
        <w:rPr>
          <w:rFonts w:ascii="Times New Roman" w:hAnsi="Times New Roman" w:eastAsia="仿宋_GB2312"/>
          <w:sz w:val="32"/>
          <w:szCs w:val="32"/>
        </w:rPr>
        <w:t>。</w:t>
      </w:r>
    </w:p>
    <w:p w14:paraId="26238BDC">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元宝港闸位于新沭河右堤桩号13+086处，开发区境内，距三洋港闸2km，为涵洞式水闸，两孔，单孔净宽3.0m，排涝流量为477m</w:t>
      </w:r>
      <w:r>
        <w:rPr>
          <w:rFonts w:ascii="Times New Roman" w:hAnsi="Times New Roman" w:eastAsia="仿宋_GB2312"/>
          <w:sz w:val="32"/>
          <w:szCs w:val="32"/>
          <w:vertAlign w:val="superscript"/>
        </w:rPr>
        <w:t>3</w:t>
      </w:r>
      <w:r>
        <w:rPr>
          <w:rFonts w:ascii="Times New Roman" w:hAnsi="Times New Roman" w:eastAsia="仿宋_GB2312"/>
          <w:sz w:val="32"/>
          <w:szCs w:val="32"/>
        </w:rPr>
        <w:t>/s。主要功能为防洪、排涝，防洪标准为50年一遇。</w:t>
      </w:r>
    </w:p>
    <w:p w14:paraId="02AF611F">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（2）临港产业区及连云新城排水片河道 </w:t>
      </w:r>
    </w:p>
    <w:p w14:paraId="2C41DABE">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临港产业区内主要河道有开泰河、曹圩河、程圩河、佟圩河、塔山河、墅港河及东盐河（开发区段）等。 </w:t>
      </w:r>
    </w:p>
    <w:p w14:paraId="36014E4C">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1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①</w:t>
      </w:r>
      <w:r>
        <w:rPr>
          <w:rFonts w:ascii="Times New Roman" w:hAnsi="Times New Roman" w:eastAsia="仿宋_GB2312"/>
          <w:sz w:val="32"/>
          <w:szCs w:val="32"/>
        </w:rPr>
        <w:fldChar w:fldCharType="end"/>
      </w:r>
      <w:r>
        <w:rPr>
          <w:rFonts w:ascii="Times New Roman" w:hAnsi="Times New Roman" w:eastAsia="仿宋_GB2312"/>
          <w:sz w:val="32"/>
          <w:szCs w:val="32"/>
        </w:rPr>
        <w:t xml:space="preserve">开泰河 </w:t>
      </w:r>
    </w:p>
    <w:p w14:paraId="3F878548">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开泰河位于大浦路两侧，上起大浦副河，下至242省道入连云新城，长约 11.75km，排水面积（242 省道以上）约 23.03 km</w:t>
      </w:r>
      <w:r>
        <w:rPr>
          <w:rFonts w:ascii="Times New Roman" w:hAnsi="Times New Roman" w:eastAsia="仿宋_GB2312"/>
          <w:sz w:val="32"/>
          <w:szCs w:val="32"/>
          <w:vertAlign w:val="superscript"/>
        </w:rPr>
        <w:t>2</w:t>
      </w:r>
      <w:r>
        <w:rPr>
          <w:rFonts w:ascii="Times New Roman" w:hAnsi="Times New Roman" w:eastAsia="仿宋_GB2312"/>
          <w:sz w:val="32"/>
          <w:szCs w:val="32"/>
        </w:rPr>
        <w:t>。</w:t>
      </w:r>
    </w:p>
    <w:p w14:paraId="5E0786DD">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2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②</w:t>
      </w:r>
      <w:r>
        <w:rPr>
          <w:rFonts w:ascii="Times New Roman" w:hAnsi="Times New Roman" w:eastAsia="仿宋_GB2312"/>
          <w:sz w:val="32"/>
          <w:szCs w:val="32"/>
        </w:rPr>
        <w:fldChar w:fldCharType="end"/>
      </w:r>
      <w:r>
        <w:rPr>
          <w:rFonts w:ascii="Times New Roman" w:hAnsi="Times New Roman" w:eastAsia="仿宋_GB2312"/>
          <w:sz w:val="32"/>
          <w:szCs w:val="32"/>
        </w:rPr>
        <w:t xml:space="preserve">曹圩河 </w:t>
      </w:r>
    </w:p>
    <w:p w14:paraId="13FBE0EF">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曹圩河位于花果山大道两侧，上起运盐河，下至 242省道入连云新城，长约 7.11km，排水面积约 11.59km</w:t>
      </w:r>
      <w:r>
        <w:rPr>
          <w:rFonts w:ascii="Times New Roman" w:hAnsi="Times New Roman" w:eastAsia="仿宋_GB2312"/>
          <w:sz w:val="32"/>
          <w:szCs w:val="32"/>
          <w:vertAlign w:val="superscript"/>
        </w:rPr>
        <w:t>2</w:t>
      </w:r>
      <w:r>
        <w:rPr>
          <w:rFonts w:ascii="Times New Roman" w:hAnsi="Times New Roman" w:eastAsia="仿宋_GB2312"/>
          <w:sz w:val="32"/>
          <w:szCs w:val="32"/>
        </w:rPr>
        <w:t xml:space="preserve">。 </w:t>
      </w:r>
    </w:p>
    <w:p w14:paraId="0A490447">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3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③</w:t>
      </w:r>
      <w:r>
        <w:rPr>
          <w:rFonts w:ascii="Times New Roman" w:hAnsi="Times New Roman" w:eastAsia="仿宋_GB2312"/>
          <w:sz w:val="32"/>
          <w:szCs w:val="32"/>
        </w:rPr>
        <w:fldChar w:fldCharType="end"/>
      </w:r>
      <w:r>
        <w:rPr>
          <w:rFonts w:ascii="Times New Roman" w:hAnsi="Times New Roman" w:eastAsia="仿宋_GB2312"/>
          <w:sz w:val="32"/>
          <w:szCs w:val="32"/>
        </w:rPr>
        <w:t xml:space="preserve">程圩河 </w:t>
      </w:r>
    </w:p>
    <w:p w14:paraId="7D6212CB">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程圩河位于汇晶路西侧，上起排淡河，下至 242 省道入连云新城，长约 3.98km，排水面积约 6.59km</w:t>
      </w:r>
      <w:r>
        <w:rPr>
          <w:rFonts w:ascii="Times New Roman" w:hAnsi="Times New Roman" w:eastAsia="仿宋_GB2312"/>
          <w:sz w:val="32"/>
          <w:szCs w:val="32"/>
          <w:vertAlign w:val="superscript"/>
        </w:rPr>
        <w:t xml:space="preserve">2 </w:t>
      </w:r>
      <w:r>
        <w:rPr>
          <w:rFonts w:ascii="Times New Roman" w:hAnsi="Times New Roman" w:eastAsia="仿宋_GB2312"/>
          <w:sz w:val="32"/>
          <w:szCs w:val="32"/>
        </w:rPr>
        <w:t>。</w:t>
      </w:r>
    </w:p>
    <w:p w14:paraId="78402DD4">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4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④</w:t>
      </w:r>
      <w:r>
        <w:rPr>
          <w:rFonts w:ascii="Times New Roman" w:hAnsi="Times New Roman" w:eastAsia="仿宋_GB2312"/>
          <w:sz w:val="32"/>
          <w:szCs w:val="32"/>
        </w:rPr>
        <w:fldChar w:fldCharType="end"/>
      </w:r>
      <w:r>
        <w:rPr>
          <w:rFonts w:ascii="Times New Roman" w:hAnsi="Times New Roman" w:eastAsia="仿宋_GB2312"/>
          <w:sz w:val="32"/>
          <w:szCs w:val="32"/>
        </w:rPr>
        <w:t xml:space="preserve">佟圩河 </w:t>
      </w:r>
    </w:p>
    <w:p w14:paraId="71E740D7">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佟圩河位于佟圩路西侧，上起排淡河，下至 242 省道入连云新城，长约 3.1km，排水面积约 5.66km</w:t>
      </w:r>
      <w:r>
        <w:rPr>
          <w:rFonts w:ascii="Times New Roman" w:hAnsi="Times New Roman" w:eastAsia="仿宋_GB2312"/>
          <w:sz w:val="32"/>
          <w:szCs w:val="32"/>
          <w:vertAlign w:val="superscript"/>
        </w:rPr>
        <w:t>2</w:t>
      </w:r>
      <w:r>
        <w:rPr>
          <w:rFonts w:ascii="Times New Roman" w:hAnsi="Times New Roman" w:eastAsia="仿宋_GB2312"/>
          <w:sz w:val="32"/>
          <w:szCs w:val="32"/>
        </w:rPr>
        <w:t xml:space="preserve">。 </w:t>
      </w:r>
    </w:p>
    <w:p w14:paraId="7F5088FD">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5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⑤</w:t>
      </w:r>
      <w:r>
        <w:rPr>
          <w:rFonts w:ascii="Times New Roman" w:hAnsi="Times New Roman" w:eastAsia="仿宋_GB2312"/>
          <w:sz w:val="32"/>
          <w:szCs w:val="32"/>
        </w:rPr>
        <w:fldChar w:fldCharType="end"/>
      </w:r>
      <w:r>
        <w:rPr>
          <w:rFonts w:ascii="Times New Roman" w:hAnsi="Times New Roman" w:eastAsia="仿宋_GB2312"/>
          <w:sz w:val="32"/>
          <w:szCs w:val="32"/>
        </w:rPr>
        <w:t xml:space="preserve">塔山河 </w:t>
      </w:r>
    </w:p>
    <w:p w14:paraId="568A0ADA">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塔山河位于顾圩路西侧，上起排淡河，下至大港路入连云新城，长约 2.54km，排水面积约 3.4km</w:t>
      </w:r>
      <w:r>
        <w:rPr>
          <w:rFonts w:ascii="Times New Roman" w:hAnsi="Times New Roman" w:eastAsia="仿宋_GB2312"/>
          <w:sz w:val="32"/>
          <w:szCs w:val="32"/>
          <w:vertAlign w:val="superscript"/>
        </w:rPr>
        <w:t>2</w:t>
      </w:r>
      <w:r>
        <w:rPr>
          <w:rFonts w:ascii="Times New Roman" w:hAnsi="Times New Roman" w:eastAsia="仿宋_GB2312"/>
          <w:sz w:val="32"/>
          <w:szCs w:val="32"/>
        </w:rPr>
        <w:t xml:space="preserve">。 </w:t>
      </w:r>
    </w:p>
    <w:p w14:paraId="3B86DCC0">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6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⑥</w:t>
      </w:r>
      <w:r>
        <w:rPr>
          <w:rFonts w:ascii="Times New Roman" w:hAnsi="Times New Roman" w:eastAsia="仿宋_GB2312"/>
          <w:sz w:val="32"/>
          <w:szCs w:val="32"/>
        </w:rPr>
        <w:fldChar w:fldCharType="end"/>
      </w:r>
      <w:r>
        <w:rPr>
          <w:rFonts w:ascii="Times New Roman" w:hAnsi="Times New Roman" w:eastAsia="仿宋_GB2312"/>
          <w:sz w:val="32"/>
          <w:szCs w:val="32"/>
        </w:rPr>
        <w:t xml:space="preserve">墅港河 </w:t>
      </w:r>
    </w:p>
    <w:p w14:paraId="4947F0AE">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墅港河位于新光路与平山路之间，上起运盐河，下至大港路入连云新城，长约2.73km，排水面积约 4.81km</w:t>
      </w:r>
      <w:r>
        <w:rPr>
          <w:rFonts w:ascii="Times New Roman" w:hAnsi="Times New Roman" w:eastAsia="仿宋_GB2312"/>
          <w:sz w:val="32"/>
          <w:szCs w:val="32"/>
          <w:vertAlign w:val="superscript"/>
        </w:rPr>
        <w:t>2</w:t>
      </w:r>
      <w:r>
        <w:rPr>
          <w:rFonts w:ascii="Times New Roman" w:hAnsi="Times New Roman" w:eastAsia="仿宋_GB2312"/>
          <w:sz w:val="32"/>
          <w:szCs w:val="32"/>
        </w:rPr>
        <w:t xml:space="preserve">。 </w:t>
      </w:r>
    </w:p>
    <w:p w14:paraId="0C33810A">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7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⑦</w:t>
      </w:r>
      <w:r>
        <w:rPr>
          <w:rFonts w:ascii="Times New Roman" w:hAnsi="Times New Roman" w:eastAsia="仿宋_GB2312"/>
          <w:sz w:val="32"/>
          <w:szCs w:val="32"/>
        </w:rPr>
        <w:fldChar w:fldCharType="end"/>
      </w:r>
      <w:r>
        <w:rPr>
          <w:rFonts w:ascii="Times New Roman" w:hAnsi="Times New Roman" w:eastAsia="仿宋_GB2312"/>
          <w:sz w:val="32"/>
          <w:szCs w:val="32"/>
        </w:rPr>
        <w:t xml:space="preserve">东盐河（开发区段） </w:t>
      </w:r>
    </w:p>
    <w:p w14:paraId="2321EC68">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东盐河（开发区段），上接东盐河，下至连云新城闸入海，河道全长13.0km，排涝流量 200m</w:t>
      </w:r>
      <w:r>
        <w:rPr>
          <w:rFonts w:ascii="Times New Roman" w:hAnsi="Times New Roman" w:eastAsia="仿宋_GB2312"/>
          <w:sz w:val="32"/>
          <w:szCs w:val="32"/>
          <w:vertAlign w:val="superscript"/>
        </w:rPr>
        <w:t>3</w:t>
      </w:r>
      <w:r>
        <w:rPr>
          <w:rFonts w:ascii="Times New Roman" w:hAnsi="Times New Roman" w:eastAsia="仿宋_GB2312"/>
          <w:sz w:val="32"/>
          <w:szCs w:val="32"/>
        </w:rPr>
        <w:t>/s，其中分泄大浦河流域排涝流量105m</w:t>
      </w:r>
      <w:r>
        <w:rPr>
          <w:rFonts w:ascii="Times New Roman" w:hAnsi="Times New Roman" w:eastAsia="仿宋_GB2312"/>
          <w:sz w:val="32"/>
          <w:szCs w:val="32"/>
          <w:vertAlign w:val="superscript"/>
        </w:rPr>
        <w:t>3</w:t>
      </w:r>
      <w:r>
        <w:rPr>
          <w:rFonts w:ascii="Times New Roman" w:hAnsi="Times New Roman" w:eastAsia="仿宋_GB2312"/>
          <w:sz w:val="32"/>
          <w:szCs w:val="32"/>
        </w:rPr>
        <w:t>/s，分泄排淡河区间来水 95m</w:t>
      </w:r>
      <w:r>
        <w:rPr>
          <w:rFonts w:ascii="Times New Roman" w:hAnsi="Times New Roman" w:eastAsia="仿宋_GB2312"/>
          <w:sz w:val="32"/>
          <w:szCs w:val="32"/>
          <w:vertAlign w:val="superscript"/>
        </w:rPr>
        <w:t>3</w:t>
      </w:r>
      <w:r>
        <w:rPr>
          <w:rFonts w:ascii="Times New Roman" w:hAnsi="Times New Roman" w:eastAsia="仿宋_GB2312"/>
          <w:sz w:val="32"/>
          <w:szCs w:val="32"/>
        </w:rPr>
        <w:t>/s，排涝标准20年一遇。</w:t>
      </w:r>
    </w:p>
    <w:p w14:paraId="52BC49CC">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（3）排淡河排水片河道 </w:t>
      </w:r>
    </w:p>
    <w:p w14:paraId="6877B850">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排淡河处在前云台山、后云台山两山之间的平原地带上，集水范围内山坡陡峻、平原平缓，属于山区性平原型河道，河底坡降较小，是开发区的主要排水通道。河道从东盐河口到大板跳闸全长 17.4km。排涝标准20年一遇。 </w:t>
      </w:r>
    </w:p>
    <w:p w14:paraId="27C272AD">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1.5.2抗旱用水  </w:t>
      </w:r>
    </w:p>
    <w:p w14:paraId="558FDA02">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发区为典型的资源性缺水地区，本地水资源有限，无法满足供水要求，江淮水是其用水的主要来源。调引江淮水进入蔷薇河、沭新渠，以蔷薇河、沭新渠为水源地，以蔷薇湖为备用水源地，供给开发区生活、工业用水及农业用水。</w:t>
      </w:r>
    </w:p>
    <w:p w14:paraId="20ADA65B">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1.5.3防洪抗旱风险</w:t>
      </w:r>
    </w:p>
    <w:p w14:paraId="5700BEEE">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（1）洪涝风险：</w:t>
      </w:r>
    </w:p>
    <w:p w14:paraId="5C4B037F">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1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①</w:t>
      </w:r>
      <w:r>
        <w:rPr>
          <w:rFonts w:ascii="Times New Roman" w:hAnsi="Times New Roman" w:eastAsia="仿宋_GB2312"/>
          <w:sz w:val="32"/>
          <w:szCs w:val="32"/>
        </w:rPr>
        <w:fldChar w:fldCharType="end"/>
      </w:r>
      <w:r>
        <w:rPr>
          <w:rFonts w:ascii="Times New Roman" w:hAnsi="Times New Roman" w:eastAsia="仿宋_GB2312"/>
          <w:sz w:val="32"/>
          <w:szCs w:val="32"/>
        </w:rPr>
        <w:t>新沭河上游河道坡降大，暴雨之后，汇流集中，洪水来得快，来得猛，峰高量大，预见期短。</w:t>
      </w:r>
    </w:p>
    <w:p w14:paraId="7318FD5F">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2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②</w:t>
      </w:r>
      <w:r>
        <w:rPr>
          <w:rFonts w:ascii="Times New Roman" w:hAnsi="Times New Roman" w:eastAsia="仿宋_GB2312"/>
          <w:sz w:val="32"/>
          <w:szCs w:val="32"/>
        </w:rPr>
        <w:fldChar w:fldCharType="end"/>
      </w:r>
      <w:r>
        <w:rPr>
          <w:rFonts w:ascii="Times New Roman" w:hAnsi="Times New Roman" w:eastAsia="仿宋_GB2312"/>
          <w:sz w:val="32"/>
          <w:szCs w:val="32"/>
        </w:rPr>
        <w:t>过境水和上游来水穿区而过，主要承泄河道排淡河和东盐河（开发区段）行洪受海潮顶托，排水不畅；城区地势低洼，排水管网管径小，极易产生内涝。</w:t>
      </w:r>
    </w:p>
    <w:p w14:paraId="252595C9">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3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③</w:t>
      </w:r>
      <w:r>
        <w:rPr>
          <w:rFonts w:ascii="Times New Roman" w:hAnsi="Times New Roman" w:eastAsia="仿宋_GB2312"/>
          <w:sz w:val="32"/>
          <w:szCs w:val="32"/>
        </w:rPr>
        <w:fldChar w:fldCharType="end"/>
      </w:r>
      <w:r>
        <w:rPr>
          <w:rFonts w:ascii="Times New Roman" w:hAnsi="Times New Roman" w:eastAsia="仿宋_GB2312"/>
          <w:sz w:val="32"/>
          <w:szCs w:val="32"/>
        </w:rPr>
        <w:t>开发区位于南北气候过渡带，易受台风倒槽影响，形成暴雨和大暴雨，且多丘陵山区和水库塘坝，遇大暴雨或局部短历时特大暴雨，极易引起山洪暴发，对城区防洪安全形成威胁。</w:t>
      </w:r>
    </w:p>
    <w:p w14:paraId="1593A371">
      <w:pPr>
        <w:numPr>
          <w:ilvl w:val="0"/>
          <w:numId w:val="2"/>
        </w:num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抗旱风险：开发区雨水较丰沛，但小旱时常发生，特别是夏季和冬季用水高峰时，常出现3～5天短期缺水。另外，开发区产业园区和大用水企业较多，因水体污染导致用水紧张的现象偶有发生。</w:t>
      </w:r>
    </w:p>
    <w:p w14:paraId="0E5CF69B">
      <w:pPr>
        <w:keepNext/>
        <w:keepLines/>
        <w:adjustRightInd w:val="0"/>
        <w:snapToGrid w:val="0"/>
        <w:ind w:firstLine="640" w:firstLineChars="200"/>
        <w:outlineLvl w:val="0"/>
        <w:rPr>
          <w:rFonts w:ascii="Times New Roman" w:hAnsi="Times New Roman" w:eastAsia="黑体"/>
          <w:kern w:val="44"/>
          <w:sz w:val="32"/>
          <w:szCs w:val="32"/>
        </w:rPr>
      </w:pPr>
      <w:bookmarkStart w:id="38" w:name="_Toc2266"/>
      <w:bookmarkStart w:id="39" w:name="_Toc42177986"/>
      <w:bookmarkStart w:id="40" w:name="_Toc29046"/>
      <w:bookmarkStart w:id="41" w:name="_Toc21413"/>
      <w:bookmarkStart w:id="42" w:name="_Toc114659179"/>
      <w:bookmarkStart w:id="43" w:name="_Toc36651987"/>
      <w:bookmarkStart w:id="44" w:name="_Toc12668"/>
      <w:bookmarkStart w:id="45" w:name="_Toc24905"/>
      <w:r>
        <w:rPr>
          <w:rFonts w:ascii="Times New Roman" w:hAnsi="Times New Roman" w:eastAsia="黑体"/>
          <w:kern w:val="44"/>
          <w:sz w:val="32"/>
          <w:szCs w:val="32"/>
        </w:rPr>
        <w:t>2  组织体系</w:t>
      </w:r>
      <w:bookmarkEnd w:id="38"/>
      <w:bookmarkEnd w:id="39"/>
      <w:bookmarkEnd w:id="40"/>
      <w:bookmarkEnd w:id="41"/>
      <w:bookmarkEnd w:id="42"/>
      <w:bookmarkEnd w:id="43"/>
      <w:bookmarkEnd w:id="44"/>
      <w:bookmarkEnd w:id="45"/>
    </w:p>
    <w:p w14:paraId="77274C9A">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连云港经济技术开发区管委会设立连云港经济技术开发区防汛抗旱指挥部（简称“区防指”，下同），街道办事处设立本级防汛抗旱指挥机构，负责本行政区域内的防汛抗旱突发事件应对工作。有关单位可根据需要设立防汛抗旱指挥机构，负责本单位防汛抗旱工作，并服从区防指的统一指挥。</w:t>
      </w:r>
    </w:p>
    <w:p w14:paraId="75DA0E5C">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46" w:name="_Toc42177987"/>
      <w:bookmarkStart w:id="47" w:name="_Toc22842"/>
      <w:bookmarkStart w:id="48" w:name="_Toc114659180"/>
      <w:bookmarkStart w:id="49" w:name="_Toc36651988"/>
      <w:r>
        <w:rPr>
          <w:rFonts w:ascii="Times New Roman" w:hAnsi="Times New Roman" w:eastAsia="楷体_GB2312"/>
          <w:sz w:val="32"/>
          <w:szCs w:val="32"/>
        </w:rPr>
        <w:t>2.1  区防汛抗旱指挥部</w:t>
      </w:r>
      <w:bookmarkEnd w:id="46"/>
      <w:bookmarkEnd w:id="47"/>
      <w:bookmarkEnd w:id="48"/>
      <w:bookmarkEnd w:id="49"/>
    </w:p>
    <w:p w14:paraId="455E44ED">
      <w:pPr>
        <w:adjustRightInd w:val="0"/>
        <w:snapToGrid w:val="0"/>
        <w:spacing w:line="570" w:lineRule="exact"/>
        <w:ind w:firstLine="616" w:firstLineChars="200"/>
        <w:rPr>
          <w:rFonts w:ascii="Times New Roman" w:hAnsi="Times New Roman" w:eastAsia="仿宋_GB2312"/>
          <w:spacing w:val="-6"/>
          <w:sz w:val="32"/>
          <w:szCs w:val="32"/>
        </w:rPr>
      </w:pPr>
      <w:r>
        <w:rPr>
          <w:rFonts w:ascii="Times New Roman" w:hAnsi="Times New Roman" w:eastAsia="仿宋_GB2312"/>
          <w:spacing w:val="-6"/>
          <w:sz w:val="32"/>
          <w:szCs w:val="32"/>
        </w:rPr>
        <w:t>区防指负责组织领导全区防汛抗旱工作，其日常办事机构区防汛抗旱指挥部办公室（以下简称“区防办”，下同）设在</w:t>
      </w:r>
      <w:r>
        <w:rPr>
          <w:rFonts w:ascii="Times New Roman" w:hAnsi="Times New Roman" w:eastAsia="仿宋_GB2312"/>
          <w:sz w:val="32"/>
          <w:szCs w:val="32"/>
        </w:rPr>
        <w:t>连云港经济技术开发区</w:t>
      </w:r>
      <w:r>
        <w:rPr>
          <w:rFonts w:ascii="Times New Roman" w:hAnsi="Times New Roman" w:eastAsia="仿宋_GB2312"/>
          <w:spacing w:val="-6"/>
          <w:sz w:val="32"/>
          <w:szCs w:val="32"/>
        </w:rPr>
        <w:t>社会事业局。</w:t>
      </w:r>
    </w:p>
    <w:p w14:paraId="5F62FDD3">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2.1.1  区防指组成</w:t>
      </w:r>
    </w:p>
    <w:p w14:paraId="07162D93">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区防指由区党工委副书记、区管委会常务副主任担任指挥，区管委会有关领导任副指挥。</w:t>
      </w:r>
    </w:p>
    <w:p w14:paraId="587C61B2">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指成员单位包括：区党政办公室、区纪工委监察工委、区组织宣传部、区经济发展局、区财政局、区住房和城乡建设局、区社会事业局、区应急管理局、市生态环境局开发区分局、市自然资源和规划局开发区分局、区公安分局、交警开发区大队、区消防救援大队等单位组成。</w:t>
      </w:r>
    </w:p>
    <w:p w14:paraId="0DA9EC9A">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2.1.2  区防指职责</w:t>
      </w:r>
    </w:p>
    <w:p w14:paraId="715BE535">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区防指负责领导、组织全区的防汛抗旱工作，区防指主要职责：组织制定区防汛抗旱工作的政策、规程、制度，组织抗洪抢险及抗旱减灾，协调灾后处置工作。</w:t>
      </w:r>
    </w:p>
    <w:p w14:paraId="67E6ACEC">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2.1.3  区防办职责</w:t>
      </w:r>
    </w:p>
    <w:p w14:paraId="535CE4D7">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承担区防指日常工作，负责组织指导协调全区和相关部门的水旱灾害预防和应急处置工作；研究提出具体防灾救灾方案和措施建议；组织拟定区防汛抗旱工作方针政策、发展战略并贯彻实施；组织制定区防汛抗旱调度方案，并监督实施；负责防汛抗旱经费计划的制定和使用管理，防汛抗旱物资的储备和管理；组织、指导防汛抗旱专业队伍的建设和管理；指导督促区防指系统的建设与管理等。</w:t>
      </w:r>
    </w:p>
    <w:p w14:paraId="393EE4E9">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2.1.4  区防指成员单位职责</w:t>
      </w:r>
    </w:p>
    <w:p w14:paraId="10C1E7F5">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区防指各成员单位在区管委会、区防指领导下，按照区防指统一部署和分工，各司其职，各负其责，团结一致，密切配合，检查督促和帮助指导防汛抗旱工作。</w:t>
      </w:r>
    </w:p>
    <w:p w14:paraId="318ADEDE">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区党政办公室：负责区防汛抗旱工作重大事项协调。</w:t>
      </w:r>
    </w:p>
    <w:p w14:paraId="60F9A5EC">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区纪工委监察工委：负责查处应急管理工作中履职不力或失职、渎职等造成不良影响和损失的各类行为。</w:t>
      </w:r>
    </w:p>
    <w:p w14:paraId="51B775F2">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区组织宣传部：负责把控全区防汛抗旱宣传工作导向，组织、协调和指导防汛抗旱新闻发布及舆论引导工作；协助有关部门做好预警信息的公众发布。</w:t>
      </w:r>
    </w:p>
    <w:p w14:paraId="257AE6B3">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经济发展局：负责及时协调安排抗洪抗旱救灾资金和电力、物资计划的落实。负责工业企业的行业管理，做好行业防灾、减灾、救灾和生产恢复工作，减少受灾损失；负责协调有关防汛抗旱抢险救灾所需工业物资器材的生产和组织。做好防汛抗旱期间生活必需品的组织和供应等工作。</w:t>
      </w:r>
    </w:p>
    <w:p w14:paraId="64CC4E7C">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财政局：负责安排和拨付防汛抗旱、防汛物资储备、抢险救灾、防汛岁修急办及除险加固工程配套经费；统筹安排防汛抗旱现代化决策指挥能力提升及相应水雨情遥测、视频监控等基础设施建设和维护的资金，监督防汛抗旱、抢险救灾等专项资金的预算编制、管理情况和绩效。</w:t>
      </w:r>
    </w:p>
    <w:p w14:paraId="01027A4B">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住房和城乡建设局：负责组织城市排水管网清淤、疏通工作，保障住宅小区、市政道路等排水通畅；组织落实建筑施工地等在建工程防汛工作，做好城市高楼塔吊、深基坑、城市绿化支护等设施加固等工作；负责民防工程防汛安全等工作，督查指导城区建筑设施地下空间防汛排涝工作；督促做好城市危房检查、协助做好居住在危房中的群众安全转移工作及城市物管住宅小区的排涝工作。及时清运城市垃圾；负责指导督促全区做好户外广告牌等安全检查与管理监督。负责城区防洪、排涝及水利工程的规划建设和安全管理，负责城区河道的清障清淤及日常监管工作，编制城市防洪应急预案。</w:t>
      </w:r>
    </w:p>
    <w:p w14:paraId="5DA0F4D3">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社会事业局：负责组织协调全区防汛抗旱工作；组织指导水旱灾害防治体系建设；负责水情旱情监测预报及预警信息发布，组织开展水工程调度、日常检查等；承担防汛抗旱抢险技术支撑工作。负责及时提供农情和农业受灾情况；负责农业洪涝防灾、减灾和救灾工作；负责区级防汛抗旱物资储备、调用、管理和水利防汛抗旱专业队伍建设。负责受灾地区的居民群众和防汛抢险人员医疗救治、疾病控制和卫生监督工作；负责灾区饮用水卫生并做好灾后疫病的防治工作，核查报送灾区医疗卫生信息；负责指导全区文化广电和旅游行业防汛安全工作，协助组织受洪涝干旱影响的旅游景区游客的转移安置，保障游客安全。负责督促、指导本区各类学校防汛工作，确保校舍、设施、设备、物资和师生安全；负责组织学校开展校园防汛抗旱安全宣传教育，提高师生防范意识和自我防护能力；协助组织学校师生转移安置；督促指导受灾学校开展灾后自救和恢复教学秩序工作。</w:t>
      </w:r>
    </w:p>
    <w:p w14:paraId="0170949B">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应急管理局：指导组织协调社会力量参与重大水旱灾害应急救援工作；协助区党工委、管委会指定负责同志组织重大灾害应急处置工作；提出区级救灾物资的动用决策；统一协调指挥各类应急救援队伍，提请、衔接解放军、武警和消防救援队伍参与应急救援工作；组织开展防汛抢险救援应急演练。协调开展水旱灾害综合风险评估，开展多灾种和灾害链综合监测预警。组织、协调救灾工作和受灾群众的基本生活救助；会同民政部门开展救灾捐赠等工作；协调当地政府管理、分配救灾款物并监督检查其使用情况。</w:t>
      </w:r>
    </w:p>
    <w:p w14:paraId="4500BC43">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市生态环境局开发区分局：负责水质监测，及时提供水源污染情况，做好污染源的调查工作，并提出处理建议；掌握全区危险废物存放地点，协助保证储存、转运安全，防止污染水体；汛情发生时，督查相关部门、单位及时安排危险废物转移；发生水体污染事件时，负责监测，并及时向下游等有关地区通报，防止因水源污染造成次生灾害；负责城区入河排污口的监测，及时通报监测结果并提出相关建议。</w:t>
      </w:r>
    </w:p>
    <w:p w14:paraId="24487047">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市自然资源和规划局开发区分局：负责组织协调、监督指导因雨洪引发的山体滑坡、崩塌、泥石流等地质灾害预防，承担地质灾害应急救援的技术支撑工作。</w:t>
      </w:r>
    </w:p>
    <w:p w14:paraId="25B9790F">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公安分局：负责维护防汛抢险秩序和灾区社会治安工作，确保防汛指挥、抗洪抢险、救灾物资运输等车辆的优先通行和畅通快捷；依法打击阻挠防汛抗旱工作以及破坏防汛抗旱设施的违法犯罪活动；积极配合水利等有关部门做好打击河道湖泊内的非法采砂、非法圈圩等活动；协助有关部门妥善处置因防汛抗旱引发的群体性治安事件；协助组织群众从危险地区安全撤离或转移。</w:t>
      </w:r>
    </w:p>
    <w:p w14:paraId="05B4B7FD">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交警开发区大队：负责维护防汛抢险道路秩序，确保抗洪抢险、救灾物资运输车辆畅通无阻。</w:t>
      </w:r>
    </w:p>
    <w:p w14:paraId="5F4F3D73">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区消防救援大队：根据汛情需要，组织全区消防救援人员参加抗洪抢险救灾、营救群众、转移物资等任务，负责特大干旱时城乡群众的应急送水工作。</w:t>
      </w:r>
    </w:p>
    <w:p w14:paraId="3B325F60">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50" w:name="_Toc36651989"/>
      <w:bookmarkStart w:id="51" w:name="_Toc114659181"/>
      <w:bookmarkStart w:id="52" w:name="_Toc42177988"/>
      <w:bookmarkStart w:id="53" w:name="_Toc4356"/>
      <w:r>
        <w:rPr>
          <w:rFonts w:ascii="Times New Roman" w:hAnsi="Times New Roman" w:eastAsia="楷体_GB2312"/>
          <w:sz w:val="32"/>
          <w:szCs w:val="32"/>
        </w:rPr>
        <w:t xml:space="preserve">2.2 </w:t>
      </w:r>
      <w:bookmarkEnd w:id="50"/>
      <w:bookmarkEnd w:id="51"/>
      <w:bookmarkEnd w:id="52"/>
      <w:r>
        <w:rPr>
          <w:rFonts w:ascii="Times New Roman" w:hAnsi="Times New Roman" w:eastAsia="楷体_GB2312"/>
          <w:sz w:val="32"/>
          <w:szCs w:val="32"/>
        </w:rPr>
        <w:t xml:space="preserve"> 基层防汛抗旱组织</w:t>
      </w:r>
      <w:bookmarkEnd w:id="53"/>
    </w:p>
    <w:p w14:paraId="30FD8C46">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街道、工投集团按照基层防汛抗旱体系建设要求，明确职责和人员，成立防汛抗旱指挥机构，在区防指和区管委会的领导下，做好本辖区内的防汛抗旱工作。</w:t>
      </w:r>
    </w:p>
    <w:p w14:paraId="4A9E8797">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市工投集团台北投资有限公司：负责所属涵闸、本系统的防汛抢险和防潮工作。</w:t>
      </w:r>
    </w:p>
    <w:p w14:paraId="153FDC96">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市工投集团青口投资有限公司：负责所属涵闸、本系统的防汛抢险和防潮工作。</w:t>
      </w:r>
    </w:p>
    <w:p w14:paraId="1F9C72D7">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朝阳、中云、猴嘴街道办事处：除负责落实《防汛抗旱责任状》所签任务外，做好雨情、水情、灾情上报工作，</w:t>
      </w:r>
      <w:r>
        <w:rPr>
          <w:rFonts w:ascii="Times New Roman" w:hAnsi="Times New Roman" w:eastAsia="仿宋_GB2312"/>
          <w:sz w:val="32"/>
          <w:szCs w:val="32"/>
          <w:lang w:eastAsia="zh-TW"/>
        </w:rPr>
        <w:t>负责</w:t>
      </w:r>
      <w:r>
        <w:rPr>
          <w:rFonts w:ascii="Times New Roman" w:hAnsi="Times New Roman" w:eastAsia="仿宋_GB2312"/>
          <w:sz w:val="32"/>
          <w:szCs w:val="32"/>
        </w:rPr>
        <w:t>编织袋</w:t>
      </w:r>
      <w:r>
        <w:rPr>
          <w:rFonts w:ascii="Times New Roman" w:hAnsi="Times New Roman" w:eastAsia="仿宋_GB2312"/>
          <w:sz w:val="32"/>
          <w:szCs w:val="32"/>
          <w:lang w:eastAsia="zh-TW"/>
        </w:rPr>
        <w:t>、</w:t>
      </w:r>
      <w:r>
        <w:rPr>
          <w:rFonts w:ascii="Times New Roman" w:hAnsi="Times New Roman" w:eastAsia="仿宋_GB2312"/>
          <w:sz w:val="32"/>
          <w:szCs w:val="32"/>
        </w:rPr>
        <w:t>土工布、防汛块石</w:t>
      </w:r>
      <w:r>
        <w:rPr>
          <w:rFonts w:ascii="Times New Roman" w:hAnsi="Times New Roman" w:eastAsia="仿宋_GB2312"/>
          <w:sz w:val="32"/>
          <w:szCs w:val="32"/>
          <w:lang w:eastAsia="zh-TW"/>
        </w:rPr>
        <w:t>等防汛物资的</w:t>
      </w:r>
      <w:r>
        <w:rPr>
          <w:rFonts w:ascii="Times New Roman" w:hAnsi="Times New Roman" w:eastAsia="仿宋_GB2312"/>
          <w:sz w:val="32"/>
          <w:szCs w:val="32"/>
        </w:rPr>
        <w:t>采购、保管与</w:t>
      </w:r>
      <w:r>
        <w:rPr>
          <w:rFonts w:ascii="Times New Roman" w:hAnsi="Times New Roman" w:eastAsia="仿宋_GB2312"/>
          <w:sz w:val="32"/>
          <w:szCs w:val="32"/>
          <w:lang w:eastAsia="zh-TW"/>
        </w:rPr>
        <w:t>储备</w:t>
      </w:r>
      <w:r>
        <w:rPr>
          <w:rFonts w:ascii="Times New Roman" w:hAnsi="Times New Roman" w:eastAsia="仿宋_GB2312"/>
          <w:sz w:val="32"/>
          <w:szCs w:val="32"/>
        </w:rPr>
        <w:t>，</w:t>
      </w:r>
      <w:r>
        <w:rPr>
          <w:rFonts w:ascii="Times New Roman" w:hAnsi="Times New Roman" w:eastAsia="仿宋_GB2312"/>
          <w:sz w:val="32"/>
          <w:szCs w:val="32"/>
          <w:lang w:eastAsia="zh-TW"/>
        </w:rPr>
        <w:t>汛情紧张阶段</w:t>
      </w:r>
      <w:r>
        <w:rPr>
          <w:rFonts w:ascii="Times New Roman" w:hAnsi="Times New Roman" w:eastAsia="仿宋_GB2312"/>
          <w:sz w:val="32"/>
          <w:szCs w:val="32"/>
        </w:rPr>
        <w:t>，组织</w:t>
      </w:r>
      <w:r>
        <w:rPr>
          <w:rFonts w:ascii="Times New Roman" w:hAnsi="Times New Roman" w:eastAsia="仿宋_GB2312"/>
          <w:sz w:val="32"/>
          <w:szCs w:val="32"/>
          <w:lang w:eastAsia="zh-TW"/>
        </w:rPr>
        <w:t>日夜值班</w:t>
      </w:r>
      <w:r>
        <w:rPr>
          <w:rFonts w:ascii="Times New Roman" w:hAnsi="Times New Roman" w:eastAsia="仿宋_GB2312"/>
          <w:sz w:val="32"/>
          <w:szCs w:val="32"/>
        </w:rPr>
        <w:t>，</w:t>
      </w:r>
      <w:r>
        <w:rPr>
          <w:rFonts w:ascii="Times New Roman" w:hAnsi="Times New Roman" w:eastAsia="仿宋_GB2312"/>
          <w:sz w:val="32"/>
          <w:szCs w:val="32"/>
          <w:lang w:eastAsia="zh-TW"/>
        </w:rPr>
        <w:t>确保抢险物资随时</w:t>
      </w:r>
      <w:r>
        <w:rPr>
          <w:rFonts w:ascii="Times New Roman" w:hAnsi="Times New Roman" w:eastAsia="仿宋_GB2312"/>
          <w:sz w:val="32"/>
          <w:szCs w:val="32"/>
        </w:rPr>
        <w:t>到位</w:t>
      </w:r>
      <w:r>
        <w:rPr>
          <w:rFonts w:ascii="Times New Roman" w:hAnsi="Times New Roman" w:eastAsia="仿宋_GB2312"/>
          <w:sz w:val="32"/>
          <w:szCs w:val="32"/>
          <w:lang w:eastAsia="zh-TW"/>
        </w:rPr>
        <w:t>。</w:t>
      </w:r>
    </w:p>
    <w:p w14:paraId="49D33C0D">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54" w:name="_Toc29972"/>
      <w:bookmarkStart w:id="55" w:name="_Toc42177990"/>
      <w:bookmarkStart w:id="56" w:name="_Toc36651991"/>
      <w:bookmarkStart w:id="57" w:name="_Toc114659183"/>
      <w:r>
        <w:rPr>
          <w:rFonts w:ascii="Times New Roman" w:hAnsi="Times New Roman" w:eastAsia="楷体_GB2312"/>
          <w:sz w:val="32"/>
          <w:szCs w:val="32"/>
        </w:rPr>
        <w:t>2.3  工作组</w:t>
      </w:r>
      <w:bookmarkEnd w:id="54"/>
      <w:bookmarkEnd w:id="55"/>
      <w:bookmarkEnd w:id="56"/>
    </w:p>
    <w:p w14:paraId="135A0D74">
      <w:pPr>
        <w:topLinePunct/>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区防指成立综合组、工程组、转移安置组、财务物资组、后勤保障组等工作组，承担相应工作职责。发生重大水旱灾害时，可视实际情况组织成员单位部门协同防灾救灾。</w:t>
      </w:r>
    </w:p>
    <w:p w14:paraId="0C17D2CE">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（1）综合组。由区党政、区经发、区住建、区社会事业、区宣传、区应急管理等部门组成，主要负责指挥信息畅通和宣传报道工作，对灾情进行经济损失评估调查。</w:t>
      </w:r>
    </w:p>
    <w:p w14:paraId="7EA79386">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工程组。由区党政、区经发、区住建、区社会事业、区宣传、区应急管理、区公安、区交警、区消防、区街道和工投集团等部门组成，负责指导防洪排涝工程安全度汛和安全运行管理督查工作；进行工程抢修，抢修灾区受损的重要水利、交通等基础设施及城市供水、供气等市政设施。</w:t>
      </w:r>
    </w:p>
    <w:p w14:paraId="56B3B65E">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（3）转移安置组。由区党政、区经发、区住建、区社会事业、区应急管理、区公安、区交警、区街道和工投集团等部门组成，负责抢救转移受灾的群众和财物；帮助灾区人民恢复生产和生活。</w:t>
      </w:r>
    </w:p>
    <w:p w14:paraId="7C514235">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（4）财务物资组。由区经发、区住建、区财政、区社会事业、区应急管理等部门组成，负责安排和调拨防汛抗旱救灾经费。</w:t>
      </w:r>
    </w:p>
    <w:p w14:paraId="40DAB932">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后勤保障组。由区党政、区经发、区住建、区社会事业、区应急管理、区公安、区交警等部门组成，负责抢险救援人员、伤员，救灾物资的运输和灾民的生活保障；组织医疗防疫队伍进入灾区，提供药品、卫生计生防病、器械和医疗服务。</w:t>
      </w:r>
    </w:p>
    <w:p w14:paraId="0A684395">
      <w:pPr>
        <w:keepNext/>
        <w:keepLines/>
        <w:adjustRightInd w:val="0"/>
        <w:snapToGrid w:val="0"/>
        <w:ind w:firstLine="640" w:firstLineChars="200"/>
        <w:outlineLvl w:val="0"/>
        <w:rPr>
          <w:rFonts w:ascii="Times New Roman" w:hAnsi="Times New Roman" w:eastAsia="黑体"/>
          <w:kern w:val="44"/>
          <w:sz w:val="32"/>
          <w:szCs w:val="32"/>
        </w:rPr>
      </w:pPr>
      <w:bookmarkStart w:id="58" w:name="_Toc36651993"/>
      <w:bookmarkStart w:id="59" w:name="_Toc12656"/>
      <w:bookmarkStart w:id="60" w:name="_Toc12874"/>
      <w:bookmarkStart w:id="61" w:name="_Toc17043"/>
      <w:bookmarkStart w:id="62" w:name="_Toc16404"/>
      <w:bookmarkStart w:id="63" w:name="_Toc21517"/>
      <w:bookmarkStart w:id="64" w:name="_Toc42177992"/>
      <w:r>
        <w:rPr>
          <w:rFonts w:ascii="Times New Roman" w:hAnsi="Times New Roman" w:eastAsia="黑体"/>
          <w:kern w:val="44"/>
          <w:sz w:val="32"/>
          <w:szCs w:val="32"/>
        </w:rPr>
        <w:t>3  监测预报、预警和</w:t>
      </w:r>
      <w:bookmarkEnd w:id="57"/>
      <w:bookmarkEnd w:id="58"/>
      <w:r>
        <w:rPr>
          <w:rFonts w:ascii="Times New Roman" w:hAnsi="Times New Roman" w:eastAsia="黑体"/>
          <w:kern w:val="44"/>
          <w:sz w:val="32"/>
          <w:szCs w:val="32"/>
        </w:rPr>
        <w:t>预防</w:t>
      </w:r>
      <w:bookmarkEnd w:id="59"/>
      <w:bookmarkEnd w:id="60"/>
      <w:bookmarkEnd w:id="61"/>
      <w:bookmarkEnd w:id="62"/>
      <w:bookmarkEnd w:id="63"/>
      <w:bookmarkEnd w:id="64"/>
    </w:p>
    <w:p w14:paraId="234DB843">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65" w:name="_Toc114659184"/>
      <w:bookmarkStart w:id="66" w:name="_Toc42177993"/>
      <w:bookmarkStart w:id="67" w:name="_Toc19797"/>
      <w:bookmarkStart w:id="68" w:name="_Toc36651994"/>
      <w:r>
        <w:rPr>
          <w:rFonts w:ascii="Times New Roman" w:hAnsi="Times New Roman" w:eastAsia="楷体_GB2312"/>
          <w:sz w:val="32"/>
          <w:szCs w:val="32"/>
        </w:rPr>
        <w:t>3.1  监测预报</w:t>
      </w:r>
      <w:bookmarkEnd w:id="65"/>
      <w:bookmarkEnd w:id="66"/>
      <w:bookmarkEnd w:id="67"/>
      <w:bookmarkEnd w:id="68"/>
    </w:p>
    <w:p w14:paraId="5C5ACF7B">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3.1.1  水旱监测预报信息</w:t>
      </w:r>
    </w:p>
    <w:p w14:paraId="6FC2FCC0">
      <w:pPr>
        <w:adjustRightInd w:val="0"/>
        <w:snapToGrid w:val="0"/>
        <w:spacing w:line="570" w:lineRule="exact"/>
        <w:ind w:firstLine="640" w:firstLineChars="200"/>
        <w:rPr>
          <w:rFonts w:ascii="Times New Roman" w:hAnsi="Times New Roman" w:eastAsia="仿宋_GB2312"/>
          <w:sz w:val="32"/>
          <w:szCs w:val="32"/>
        </w:rPr>
      </w:pPr>
      <w:bookmarkStart w:id="69" w:name="_Toc9459"/>
      <w:r>
        <w:rPr>
          <w:rFonts w:ascii="Times New Roman" w:hAnsi="Times New Roman" w:eastAsia="仿宋_GB2312"/>
          <w:sz w:val="32"/>
          <w:szCs w:val="32"/>
        </w:rPr>
        <w:t>区防办及时同市防办联系，掌握天气降雨及洪水预报情况，及时发布相关汛情。</w:t>
      </w:r>
      <w:bookmarkEnd w:id="69"/>
    </w:p>
    <w:p w14:paraId="286E1315">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3.1.2  工程监测预报信息</w:t>
      </w:r>
    </w:p>
    <w:p w14:paraId="71995DF0">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（1）新沭河出现警戒水位以上洪水时，区防办应加强工程监测，按照要求有计划的增加力量上堤巡查，并将堤防、涵闸（元宝港闸和公兴港闸）等工程设施的运行情况报市防指和区防指。</w:t>
      </w:r>
    </w:p>
    <w:p w14:paraId="361E60AE">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（2）当朝阳、新县、胜利、黄泥塘、或云门水库水位超过汛限水位时，水库管理责任人应对大坝、溢洪道、输水涵管等关键部位加密监测，并按照洪水调度方案调度，及时将工程运行状况向区防办报告。</w:t>
      </w:r>
    </w:p>
    <w:p w14:paraId="18DAF424">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（3）当排淡河、东盐河（开发区段）河道等水利工程出现重大险情或遭遇超标准洪水袭击，以及其他不可抗拒因素而可能决口时，工程管理责任人应第一时间向区防办准确报告险情、并加强巡查监测。</w:t>
      </w:r>
    </w:p>
    <w:p w14:paraId="52B181A8">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（4）当朝阳、新县、胜利、黄泥塘或云门水库出现险情时，水库管理责任人应第一时间向区防办报告险情，并加强观测，区防指视情向下游发出预警，并迅速处置险情。</w:t>
      </w:r>
    </w:p>
    <w:p w14:paraId="53B18D43">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3.1.3  洪涝灾情信息</w:t>
      </w:r>
    </w:p>
    <w:p w14:paraId="74209066">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（1）洪涝灾情信息主要包括：灾害发生的时间、地点、范围、受灾人口以及群众财产、农林牧渔、交通通信、水电设施等方面的损失。</w:t>
      </w:r>
    </w:p>
    <w:p w14:paraId="654BED02">
      <w:pPr>
        <w:adjustRightInd w:val="0"/>
        <w:snapToGrid w:val="0"/>
        <w:spacing w:line="570" w:lineRule="exact"/>
        <w:ind w:firstLine="616" w:firstLineChars="200"/>
        <w:rPr>
          <w:rFonts w:ascii="Times New Roman" w:hAnsi="Times New Roman" w:eastAsia="仿宋_GB2312"/>
          <w:spacing w:val="-6"/>
          <w:sz w:val="32"/>
          <w:szCs w:val="32"/>
        </w:rPr>
      </w:pPr>
      <w:r>
        <w:rPr>
          <w:rFonts w:ascii="Times New Roman" w:hAnsi="Times New Roman" w:eastAsia="仿宋_GB2312"/>
          <w:spacing w:val="-6"/>
          <w:sz w:val="32"/>
          <w:szCs w:val="32"/>
        </w:rPr>
        <w:t>（2）洪涝灾情发生后，有关部门应及时向区防办报告洪涝灾害情况，区防办应收集动态灾情，全面掌握受灾情况，并及时向区管委会和市防指报告。</w:t>
      </w:r>
    </w:p>
    <w:p w14:paraId="30426514">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3.1.4  旱情监测信息</w:t>
      </w:r>
    </w:p>
    <w:p w14:paraId="18FB6656">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（1）旱情信息主要包括：干旱发生的时间、地点、程度、受旱范围、影响人口，以及对工农业生产、城乡生活、生态环境等方面造成的影响。</w:t>
      </w:r>
    </w:p>
    <w:p w14:paraId="490524B7">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（2）区防办应掌握水雨情变化、当地蓄水情况、农田土壤墒情和城乡供水情况，加强旱情监测，及时将旱情报送至区管委会和市防指，遇旱情急剧发展时应及时加报。</w:t>
      </w:r>
    </w:p>
    <w:p w14:paraId="46718A38">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70" w:name="_Toc14296"/>
      <w:bookmarkStart w:id="71" w:name="_Toc42177994"/>
      <w:bookmarkStart w:id="72" w:name="_Toc36651995"/>
      <w:bookmarkStart w:id="73" w:name="_Toc114659185"/>
      <w:r>
        <w:rPr>
          <w:rFonts w:ascii="Times New Roman" w:hAnsi="Times New Roman" w:eastAsia="楷体_GB2312"/>
          <w:sz w:val="32"/>
          <w:szCs w:val="32"/>
        </w:rPr>
        <w:t>3.2  预警</w:t>
      </w:r>
      <w:bookmarkEnd w:id="70"/>
      <w:bookmarkEnd w:id="71"/>
      <w:bookmarkEnd w:id="72"/>
    </w:p>
    <w:p w14:paraId="5B0626F3">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3.2.1  气象部门预警</w:t>
      </w:r>
    </w:p>
    <w:p w14:paraId="3BAFA13C">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区防办及时同上级气象部门联系，掌握天气降雨及洪水预报情况。</w:t>
      </w:r>
    </w:p>
    <w:p w14:paraId="4074B999">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3.2.2  水利部门预警</w:t>
      </w:r>
    </w:p>
    <w:p w14:paraId="51C9CED7">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区水利部门负责本行政区域内的水情汛情旱情监测预报，依法及时发布水情汛情旱情预警信息和水利工程险情信息；及时向区防办报告水情汛情旱情监测预报预警和调度信息。</w:t>
      </w:r>
    </w:p>
    <w:p w14:paraId="6800E9DD">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3.2.3  预警信息传达</w:t>
      </w:r>
    </w:p>
    <w:p w14:paraId="57EE0845">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指负责预警信息传达，预警信息发布、调整和解除的方式包括网站、短信、微信、微博或警报器、宣传车等，必要时可组织人员逐户通知。当新沭河出现警戒水位以上洪水时，区防指应立即通知本辖区内新沭河沿线镇，堤防管理单位或相关责任人应将预警信息传达到位。</w:t>
      </w:r>
    </w:p>
    <w:p w14:paraId="64B78205">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74" w:name="_Toc27242"/>
      <w:bookmarkStart w:id="75" w:name="_Toc42177995"/>
      <w:bookmarkStart w:id="76" w:name="_Toc36651996"/>
      <w:r>
        <w:rPr>
          <w:rFonts w:ascii="Times New Roman" w:hAnsi="Times New Roman" w:eastAsia="楷体_GB2312"/>
          <w:sz w:val="32"/>
          <w:szCs w:val="32"/>
        </w:rPr>
        <w:t>3.3  预</w:t>
      </w:r>
      <w:bookmarkEnd w:id="73"/>
      <w:r>
        <w:rPr>
          <w:rFonts w:ascii="Times New Roman" w:hAnsi="Times New Roman" w:eastAsia="楷体_GB2312"/>
          <w:sz w:val="32"/>
          <w:szCs w:val="32"/>
        </w:rPr>
        <w:t>防</w:t>
      </w:r>
      <w:bookmarkEnd w:id="74"/>
      <w:bookmarkEnd w:id="75"/>
      <w:bookmarkEnd w:id="76"/>
    </w:p>
    <w:p w14:paraId="0A1108A3">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各部门应按照职责要求做好各项预防工作，组织各单位与公众积极开展自我防范。</w:t>
      </w:r>
    </w:p>
    <w:p w14:paraId="130E84DB">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3.3.1  预防准备</w:t>
      </w:r>
    </w:p>
    <w:p w14:paraId="291D790B">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（1）组织准备：构建水旱灾害易发区域防御机制和监测网络，落实责任人、抢险队伍和应对措施，加强专业机动抢险队伍和服务组织的建设。</w:t>
      </w:r>
    </w:p>
    <w:p w14:paraId="2098E53B">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（2）工程准备：对存在病险的河道堤防、水库大坝、涵闸、泵站等各类防汛抗旱工程实施应急消险加固；对跨汛期施工的涉水工程，落实安全度汛方案。</w:t>
      </w:r>
    </w:p>
    <w:p w14:paraId="19BE4464">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（3）预案准备：修订完善各类河库等防汛抗旱工程抢险预案，水工程调度方案，抗旱应急水量调度方案等。</w:t>
      </w:r>
    </w:p>
    <w:p w14:paraId="7AE917BE">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（4）物资准备：按照国家和省市有关规定，分区域储备必需的抢险救灾物资和设备，在重点防御部位，现场储备一定数量的抢险及救灾物资和设备。</w:t>
      </w:r>
    </w:p>
    <w:p w14:paraId="08854555">
      <w:pPr>
        <w:adjustRightInd w:val="0"/>
        <w:snapToGrid w:val="0"/>
        <w:spacing w:line="558" w:lineRule="exact"/>
        <w:ind w:firstLine="640" w:firstLineChars="200"/>
        <w:rPr>
          <w:rFonts w:ascii="Times New Roman" w:hAnsi="Times New Roman" w:eastAsia="仿宋_GB2312"/>
          <w:sz w:val="32"/>
          <w:szCs w:val="32"/>
        </w:rPr>
      </w:pPr>
      <w:bookmarkStart w:id="77" w:name="_Toc114659186"/>
      <w:r>
        <w:rPr>
          <w:rFonts w:ascii="Times New Roman" w:hAnsi="Times New Roman" w:eastAsia="仿宋_GB2312"/>
          <w:sz w:val="32"/>
          <w:szCs w:val="32"/>
        </w:rPr>
        <w:t xml:space="preserve">3.3.2  </w:t>
      </w:r>
      <w:bookmarkEnd w:id="77"/>
      <w:r>
        <w:rPr>
          <w:rFonts w:ascii="Times New Roman" w:hAnsi="Times New Roman" w:eastAsia="仿宋_GB2312"/>
          <w:sz w:val="32"/>
          <w:szCs w:val="32"/>
        </w:rPr>
        <w:t>检查巡查</w:t>
      </w:r>
    </w:p>
    <w:p w14:paraId="3DB544D3">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（1）防汛抗旱指挥机构定期组织开展防汛抗旱工作检查，对发现的问题及隐患，责成有关部门和单位限期整改。</w:t>
      </w:r>
    </w:p>
    <w:p w14:paraId="09D6EF00">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（2）区水利、区住建、区交通、区教育等部门加强对相关设施设备的检查和巡查，发现问题及时处理。</w:t>
      </w:r>
    </w:p>
    <w:p w14:paraId="2D6F7DE2">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（3）区住建、区农业农村等部门按职责组织对危险区域人员、房屋、设施等进行调查，并登记造册，报区防指备案。</w:t>
      </w:r>
    </w:p>
    <w:p w14:paraId="49F73B49">
      <w:pPr>
        <w:keepNext/>
        <w:keepLines/>
        <w:adjustRightInd w:val="0"/>
        <w:snapToGrid w:val="0"/>
        <w:ind w:firstLine="640" w:firstLineChars="200"/>
        <w:outlineLvl w:val="0"/>
        <w:rPr>
          <w:rFonts w:ascii="Times New Roman" w:hAnsi="Times New Roman" w:eastAsia="黑体"/>
          <w:kern w:val="44"/>
          <w:sz w:val="32"/>
          <w:szCs w:val="32"/>
        </w:rPr>
      </w:pPr>
      <w:bookmarkStart w:id="78" w:name="_Toc155"/>
      <w:bookmarkStart w:id="79" w:name="_Toc36651997"/>
      <w:bookmarkStart w:id="80" w:name="_Toc12056"/>
      <w:bookmarkStart w:id="81" w:name="_Toc15096"/>
      <w:bookmarkStart w:id="82" w:name="_Toc114659187"/>
      <w:bookmarkStart w:id="83" w:name="_Toc8945"/>
      <w:bookmarkStart w:id="84" w:name="_Toc42177996"/>
      <w:bookmarkStart w:id="85" w:name="_Toc23757"/>
      <w:r>
        <w:rPr>
          <w:rFonts w:ascii="Times New Roman" w:hAnsi="Times New Roman" w:eastAsia="黑体"/>
          <w:kern w:val="44"/>
          <w:sz w:val="32"/>
          <w:szCs w:val="32"/>
        </w:rPr>
        <w:t>4  应急响应</w:t>
      </w:r>
      <w:bookmarkEnd w:id="78"/>
      <w:bookmarkEnd w:id="79"/>
      <w:bookmarkEnd w:id="80"/>
      <w:bookmarkEnd w:id="81"/>
      <w:bookmarkEnd w:id="82"/>
      <w:bookmarkEnd w:id="83"/>
      <w:bookmarkEnd w:id="84"/>
      <w:bookmarkEnd w:id="85"/>
    </w:p>
    <w:p w14:paraId="4B7CC099">
      <w:pPr>
        <w:pStyle w:val="2"/>
        <w:adjustRightInd w:val="0"/>
        <w:snapToGrid w:val="0"/>
        <w:spacing w:line="560" w:lineRule="exact"/>
        <w:ind w:left="0" w:firstLine="640"/>
        <w:rPr>
          <w:rFonts w:cs="Times New Roman"/>
          <w:sz w:val="32"/>
          <w:szCs w:val="32"/>
        </w:rPr>
      </w:pPr>
      <w:r>
        <w:rPr>
          <w:rFonts w:eastAsia="仿宋_GB2312" w:cs="Times New Roman"/>
          <w:sz w:val="32"/>
          <w:szCs w:val="32"/>
        </w:rPr>
        <w:t>按洪涝干旱灾害严重程度和影响范围，应急响应由低到高分为</w:t>
      </w:r>
      <w:r>
        <w:rPr>
          <w:rFonts w:hint="eastAsia" w:ascii="宋体" w:hAnsi="宋体"/>
          <w:sz w:val="32"/>
          <w:szCs w:val="32"/>
        </w:rPr>
        <w:t>Ⅳ</w:t>
      </w:r>
      <w:r>
        <w:rPr>
          <w:rFonts w:eastAsia="仿宋_GB2312" w:cs="Times New Roman"/>
          <w:sz w:val="32"/>
          <w:szCs w:val="32"/>
        </w:rPr>
        <w:t>级（一般）、</w:t>
      </w:r>
      <w:r>
        <w:rPr>
          <w:rFonts w:hint="eastAsia" w:ascii="宋体" w:hAnsi="宋体"/>
          <w:sz w:val="32"/>
          <w:szCs w:val="32"/>
        </w:rPr>
        <w:t>Ⅲ</w:t>
      </w:r>
      <w:r>
        <w:rPr>
          <w:rFonts w:eastAsia="仿宋_GB2312" w:cs="Times New Roman"/>
          <w:sz w:val="32"/>
          <w:szCs w:val="32"/>
        </w:rPr>
        <w:t>级（较大）、</w:t>
      </w:r>
      <w:r>
        <w:rPr>
          <w:rFonts w:hint="eastAsia" w:ascii="宋体" w:hAnsi="宋体"/>
          <w:sz w:val="32"/>
          <w:szCs w:val="32"/>
        </w:rPr>
        <w:t>Ⅱ</w:t>
      </w:r>
      <w:r>
        <w:rPr>
          <w:rFonts w:eastAsia="仿宋_GB2312" w:cs="Times New Roman"/>
          <w:sz w:val="32"/>
          <w:szCs w:val="32"/>
        </w:rPr>
        <w:t>级（重大）和</w:t>
      </w:r>
      <w:r>
        <w:rPr>
          <w:rFonts w:hint="eastAsia" w:ascii="宋体" w:hAnsi="宋体"/>
          <w:sz w:val="32"/>
          <w:szCs w:val="32"/>
        </w:rPr>
        <w:t>Ⅰ</w:t>
      </w:r>
      <w:r>
        <w:rPr>
          <w:rFonts w:eastAsia="仿宋_GB2312" w:cs="Times New Roman"/>
          <w:sz w:val="32"/>
          <w:szCs w:val="32"/>
        </w:rPr>
        <w:t>级（特别重大）四级。</w:t>
      </w:r>
    </w:p>
    <w:p w14:paraId="42010CA4">
      <w:pPr>
        <w:keepNext/>
        <w:keepLines/>
        <w:adjustRightInd w:val="0"/>
        <w:snapToGrid w:val="0"/>
        <w:spacing w:line="560" w:lineRule="exact"/>
        <w:ind w:firstLine="640" w:firstLineChars="200"/>
        <w:outlineLvl w:val="2"/>
        <w:rPr>
          <w:rFonts w:ascii="Times New Roman" w:hAnsi="Times New Roman" w:eastAsia="楷体_GB2312"/>
          <w:sz w:val="32"/>
          <w:szCs w:val="32"/>
        </w:rPr>
      </w:pPr>
      <w:bookmarkStart w:id="86" w:name="_Toc1550"/>
      <w:bookmarkStart w:id="87" w:name="_Toc42177997"/>
      <w:bookmarkStart w:id="88" w:name="_Toc36651998"/>
      <w:r>
        <w:rPr>
          <w:rFonts w:ascii="Times New Roman" w:hAnsi="Times New Roman" w:eastAsia="楷体_GB2312"/>
          <w:sz w:val="32"/>
          <w:szCs w:val="32"/>
        </w:rPr>
        <w:t>4.1  防汛应急响应启动条件</w:t>
      </w:r>
      <w:bookmarkEnd w:id="86"/>
      <w:bookmarkEnd w:id="87"/>
      <w:bookmarkEnd w:id="88"/>
    </w:p>
    <w:p w14:paraId="58745D26">
      <w:pPr>
        <w:adjustRightInd w:val="0"/>
        <w:snapToGrid w:val="0"/>
        <w:spacing w:line="560" w:lineRule="exact"/>
        <w:ind w:firstLine="640" w:firstLineChars="200"/>
        <w:rPr>
          <w:rFonts w:ascii="Times New Roman" w:hAnsi="Times New Roman" w:eastAsia="仿宋_GB2312"/>
          <w:sz w:val="32"/>
          <w:szCs w:val="32"/>
        </w:rPr>
      </w:pPr>
      <w:bookmarkStart w:id="89" w:name="_Toc36651999"/>
      <w:bookmarkStart w:id="90" w:name="_Toc15347"/>
      <w:r>
        <w:rPr>
          <w:rFonts w:ascii="Times New Roman" w:hAnsi="Times New Roman" w:eastAsia="仿宋_GB2312"/>
          <w:sz w:val="32"/>
          <w:szCs w:val="32"/>
        </w:rPr>
        <w:t xml:space="preserve">4.1.1  </w:t>
      </w:r>
      <w:r>
        <w:rPr>
          <w:rFonts w:hint="eastAsia" w:ascii="宋体" w:hAnsi="宋体" w:eastAsia="宋体" w:cs="宋体"/>
          <w:sz w:val="32"/>
          <w:szCs w:val="32"/>
        </w:rPr>
        <w:t>Ⅳ</w:t>
      </w:r>
      <w:r>
        <w:rPr>
          <w:rFonts w:ascii="Times New Roman" w:hAnsi="Times New Roman" w:eastAsia="仿宋_GB2312"/>
          <w:sz w:val="32"/>
          <w:szCs w:val="32"/>
        </w:rPr>
        <w:t>级响应</w:t>
      </w:r>
      <w:bookmarkEnd w:id="89"/>
      <w:bookmarkEnd w:id="90"/>
    </w:p>
    <w:p w14:paraId="05E7AFF7">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出现下列条件之一，经综合研判后，启动全区或局部 </w:t>
      </w:r>
      <w:r>
        <w:rPr>
          <w:rFonts w:hint="eastAsia" w:ascii="宋体" w:hAnsi="宋体" w:eastAsia="宋体" w:cs="宋体"/>
          <w:sz w:val="32"/>
          <w:szCs w:val="32"/>
        </w:rPr>
        <w:t>Ⅳ</w:t>
      </w:r>
      <w:r>
        <w:rPr>
          <w:rFonts w:ascii="Times New Roman" w:hAnsi="Times New Roman" w:eastAsia="仿宋_GB2312"/>
          <w:sz w:val="32"/>
          <w:szCs w:val="32"/>
        </w:rPr>
        <w:t>级响应。</w:t>
      </w:r>
    </w:p>
    <w:p w14:paraId="2A6466EC">
      <w:pPr>
        <w:numPr>
          <w:ilvl w:val="0"/>
          <w:numId w:val="3"/>
        </w:numPr>
        <w:adjustRightInd w:val="0"/>
        <w:snapToGrid w:val="0"/>
        <w:spacing w:line="560" w:lineRule="exact"/>
        <w:ind w:firstLine="640" w:firstLineChars="200"/>
        <w:rPr>
          <w:rFonts w:ascii="Times New Roman" w:hAnsi="Times New Roman" w:eastAsia="仿宋_GB2312"/>
          <w:sz w:val="32"/>
          <w:szCs w:val="32"/>
        </w:rPr>
      </w:pPr>
      <w:bookmarkStart w:id="91" w:name="_Toc36652000"/>
      <w:bookmarkStart w:id="92" w:name="_Toc17793"/>
      <w:r>
        <w:rPr>
          <w:rFonts w:ascii="Times New Roman" w:hAnsi="Times New Roman" w:eastAsia="仿宋_GB2312"/>
          <w:sz w:val="32"/>
          <w:szCs w:val="32"/>
        </w:rPr>
        <w:t>市防指针对新沭河启动</w:t>
      </w:r>
      <w:r>
        <w:rPr>
          <w:rFonts w:hint="eastAsia" w:ascii="宋体" w:hAnsi="宋体" w:eastAsia="宋体" w:cs="宋体"/>
          <w:sz w:val="32"/>
          <w:szCs w:val="32"/>
        </w:rPr>
        <w:t>Ⅳ</w:t>
      </w:r>
      <w:r>
        <w:rPr>
          <w:rFonts w:ascii="Times New Roman" w:hAnsi="Times New Roman" w:eastAsia="仿宋_GB2312"/>
          <w:sz w:val="32"/>
          <w:szCs w:val="32"/>
        </w:rPr>
        <w:t>级响应；</w:t>
      </w:r>
    </w:p>
    <w:p w14:paraId="1888D416">
      <w:pPr>
        <w:numPr>
          <w:ilvl w:val="0"/>
          <w:numId w:val="3"/>
        </w:num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市防指针对东盐河、排淡河启动城市防洪</w:t>
      </w:r>
      <w:r>
        <w:rPr>
          <w:rFonts w:hint="eastAsia" w:ascii="宋体" w:hAnsi="宋体" w:eastAsia="宋体" w:cs="宋体"/>
          <w:sz w:val="32"/>
          <w:szCs w:val="32"/>
        </w:rPr>
        <w:t>Ⅳ</w:t>
      </w:r>
      <w:r>
        <w:rPr>
          <w:rFonts w:ascii="Times New Roman" w:hAnsi="Times New Roman" w:eastAsia="仿宋_GB2312"/>
          <w:sz w:val="32"/>
          <w:szCs w:val="32"/>
        </w:rPr>
        <w:t>级响应；</w:t>
      </w:r>
    </w:p>
    <w:p w14:paraId="0BCC9015">
      <w:pPr>
        <w:numPr>
          <w:ilvl w:val="0"/>
          <w:numId w:val="3"/>
        </w:num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新沭河（石梁河水库）行洪流量3000</w:t>
      </w:r>
      <w:r>
        <w:rPr>
          <w:rFonts w:hint="eastAsia" w:ascii="宋体" w:hAnsi="宋体" w:eastAsia="宋体" w:cs="宋体"/>
          <w:sz w:val="32"/>
          <w:szCs w:val="32"/>
        </w:rPr>
        <w:t>≦</w:t>
      </w:r>
      <w:r>
        <w:rPr>
          <w:rFonts w:ascii="Times New Roman" w:hAnsi="Times New Roman" w:eastAsia="仿宋_GB2312"/>
          <w:sz w:val="32"/>
          <w:szCs w:val="32"/>
        </w:rPr>
        <w:t>Q＜4000m</w:t>
      </w:r>
      <w:r>
        <w:rPr>
          <w:rFonts w:ascii="Times New Roman" w:hAnsi="Times New Roman" w:eastAsia="仿宋_GB2312"/>
          <w:sz w:val="32"/>
          <w:szCs w:val="32"/>
          <w:vertAlign w:val="superscript"/>
        </w:rPr>
        <w:t>3</w:t>
      </w:r>
      <w:r>
        <w:rPr>
          <w:rFonts w:ascii="Times New Roman" w:hAnsi="Times New Roman" w:eastAsia="仿宋_GB2312"/>
          <w:sz w:val="32"/>
          <w:szCs w:val="32"/>
        </w:rPr>
        <w:t xml:space="preserve">/s； </w:t>
      </w:r>
    </w:p>
    <w:p w14:paraId="76459564">
      <w:pPr>
        <w:numPr>
          <w:ilvl w:val="0"/>
          <w:numId w:val="3"/>
        </w:num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小水库、塘坝及骨干河道等出现一般险情；</w:t>
      </w:r>
    </w:p>
    <w:p w14:paraId="4666A45E">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（5）全区受涝面积在0.5万亩以内；</w:t>
      </w:r>
    </w:p>
    <w:p w14:paraId="10F46B21">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（6）市防指针对我区启动防汛</w:t>
      </w:r>
      <w:r>
        <w:rPr>
          <w:rFonts w:hint="eastAsia" w:ascii="宋体" w:hAnsi="宋体" w:eastAsia="宋体" w:cs="宋体"/>
          <w:sz w:val="32"/>
          <w:szCs w:val="32"/>
        </w:rPr>
        <w:t>Ⅳ</w:t>
      </w:r>
      <w:r>
        <w:rPr>
          <w:rFonts w:ascii="Times New Roman" w:hAnsi="Times New Roman" w:eastAsia="仿宋_GB2312"/>
          <w:sz w:val="32"/>
          <w:szCs w:val="32"/>
        </w:rPr>
        <w:t>级响应。</w:t>
      </w:r>
    </w:p>
    <w:p w14:paraId="4677B8CF">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4.1.2  </w:t>
      </w:r>
      <w:r>
        <w:rPr>
          <w:rFonts w:hint="eastAsia" w:ascii="宋体" w:hAnsi="宋体" w:eastAsia="宋体" w:cs="宋体"/>
          <w:sz w:val="32"/>
          <w:szCs w:val="32"/>
        </w:rPr>
        <w:t>Ⅲ</w:t>
      </w:r>
      <w:r>
        <w:rPr>
          <w:rFonts w:ascii="Times New Roman" w:hAnsi="Times New Roman" w:eastAsia="仿宋_GB2312"/>
          <w:sz w:val="32"/>
          <w:szCs w:val="32"/>
        </w:rPr>
        <w:t>级响应</w:t>
      </w:r>
      <w:bookmarkEnd w:id="91"/>
      <w:bookmarkEnd w:id="92"/>
    </w:p>
    <w:p w14:paraId="770DA4FC">
      <w:pPr>
        <w:adjustRightInd w:val="0"/>
        <w:snapToGrid w:val="0"/>
        <w:spacing w:line="560" w:lineRule="exact"/>
        <w:ind w:firstLine="640" w:firstLineChars="200"/>
        <w:rPr>
          <w:rFonts w:ascii="Times New Roman" w:hAnsi="Times New Roman" w:eastAsia="宋体"/>
          <w:kern w:val="0"/>
          <w:sz w:val="32"/>
          <w:szCs w:val="32"/>
        </w:rPr>
      </w:pPr>
      <w:r>
        <w:rPr>
          <w:rFonts w:ascii="Times New Roman" w:hAnsi="Times New Roman" w:eastAsia="仿宋_GB2312"/>
          <w:kern w:val="0"/>
          <w:sz w:val="32"/>
          <w:szCs w:val="32"/>
        </w:rPr>
        <w:t>出现下列条件之一，经综合研判后，启动全区或局部</w:t>
      </w:r>
      <w:r>
        <w:rPr>
          <w:rFonts w:hint="eastAsia" w:ascii="宋体" w:hAnsi="宋体" w:eastAsia="宋体" w:cs="宋体"/>
          <w:kern w:val="0"/>
          <w:sz w:val="32"/>
          <w:szCs w:val="32"/>
        </w:rPr>
        <w:t>Ⅲ</w:t>
      </w:r>
      <w:r>
        <w:rPr>
          <w:rFonts w:ascii="Times New Roman" w:hAnsi="Times New Roman" w:eastAsia="仿宋_GB2312"/>
          <w:kern w:val="0"/>
          <w:sz w:val="32"/>
          <w:szCs w:val="32"/>
        </w:rPr>
        <w:t>级响应。</w:t>
      </w:r>
    </w:p>
    <w:p w14:paraId="6545318E">
      <w:pPr>
        <w:adjustRightInd w:val="0"/>
        <w:snapToGrid w:val="0"/>
        <w:spacing w:line="560" w:lineRule="exact"/>
        <w:ind w:firstLine="640" w:firstLineChars="200"/>
        <w:rPr>
          <w:rFonts w:ascii="Times New Roman" w:hAnsi="Times New Roman" w:eastAsia="仿宋_GB2312"/>
          <w:kern w:val="0"/>
          <w:sz w:val="32"/>
          <w:szCs w:val="32"/>
        </w:rPr>
      </w:pPr>
      <w:bookmarkStart w:id="93" w:name="_Toc36652001"/>
      <w:bookmarkStart w:id="94" w:name="_Toc10923"/>
      <w:r>
        <w:rPr>
          <w:rFonts w:ascii="Times New Roman" w:hAnsi="Times New Roman" w:eastAsia="仿宋_GB2312"/>
          <w:kern w:val="0"/>
          <w:sz w:val="32"/>
          <w:szCs w:val="32"/>
        </w:rPr>
        <w:t>（1）市防指针对新沭河启动</w:t>
      </w:r>
      <w:r>
        <w:rPr>
          <w:rFonts w:hint="eastAsia" w:ascii="宋体" w:hAnsi="宋体" w:eastAsia="宋体" w:cs="宋体"/>
          <w:kern w:val="0"/>
          <w:sz w:val="32"/>
          <w:szCs w:val="32"/>
        </w:rPr>
        <w:t>Ⅲ</w:t>
      </w:r>
      <w:r>
        <w:rPr>
          <w:rFonts w:ascii="Times New Roman" w:hAnsi="Times New Roman" w:eastAsia="仿宋_GB2312"/>
          <w:kern w:val="0"/>
          <w:sz w:val="32"/>
          <w:szCs w:val="32"/>
        </w:rPr>
        <w:t>级响应；</w:t>
      </w:r>
    </w:p>
    <w:p w14:paraId="3451D802">
      <w:pPr>
        <w:adjustRightInd w:val="0"/>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（2）市防指针对东盐河、排淡河启动城市防洪</w:t>
      </w:r>
      <w:r>
        <w:rPr>
          <w:rFonts w:hint="eastAsia" w:ascii="宋体" w:hAnsi="宋体" w:eastAsia="宋体" w:cs="宋体"/>
          <w:kern w:val="0"/>
          <w:sz w:val="32"/>
          <w:szCs w:val="32"/>
        </w:rPr>
        <w:t>Ⅲ</w:t>
      </w:r>
      <w:r>
        <w:rPr>
          <w:rFonts w:ascii="Times New Roman" w:hAnsi="Times New Roman" w:eastAsia="仿宋_GB2312"/>
          <w:kern w:val="0"/>
          <w:sz w:val="32"/>
          <w:szCs w:val="32"/>
        </w:rPr>
        <w:t>级响应；</w:t>
      </w:r>
    </w:p>
    <w:p w14:paraId="0AB8E511">
      <w:pPr>
        <w:adjustRightInd w:val="0"/>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（3）新沭河（石梁河水库）行洪流量4000</w:t>
      </w:r>
      <w:r>
        <w:rPr>
          <w:rFonts w:hint="eastAsia" w:ascii="宋体" w:hAnsi="宋体" w:eastAsia="宋体" w:cs="宋体"/>
          <w:kern w:val="0"/>
          <w:sz w:val="32"/>
          <w:szCs w:val="32"/>
        </w:rPr>
        <w:t>≦</w:t>
      </w:r>
      <w:r>
        <w:rPr>
          <w:rFonts w:ascii="Times New Roman" w:hAnsi="Times New Roman" w:eastAsia="仿宋_GB2312"/>
          <w:kern w:val="0"/>
          <w:sz w:val="32"/>
          <w:szCs w:val="32"/>
        </w:rPr>
        <w:t>Q＜5000m</w:t>
      </w:r>
      <w:r>
        <w:rPr>
          <w:rFonts w:ascii="Times New Roman" w:hAnsi="Times New Roman" w:eastAsia="仿宋_GB2312"/>
          <w:kern w:val="0"/>
          <w:sz w:val="32"/>
          <w:szCs w:val="32"/>
          <w:vertAlign w:val="superscript"/>
        </w:rPr>
        <w:t>3</w:t>
      </w:r>
      <w:r>
        <w:rPr>
          <w:rFonts w:ascii="Times New Roman" w:hAnsi="Times New Roman" w:eastAsia="仿宋_GB2312"/>
          <w:kern w:val="0"/>
          <w:sz w:val="32"/>
          <w:szCs w:val="32"/>
        </w:rPr>
        <w:t>/s；</w:t>
      </w:r>
    </w:p>
    <w:p w14:paraId="75C2380E">
      <w:pPr>
        <w:adjustRightInd w:val="0"/>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（4）小水库、塘坝及骨干河道等出现较大险情；</w:t>
      </w:r>
    </w:p>
    <w:p w14:paraId="539D0423">
      <w:pPr>
        <w:adjustRightInd w:val="0"/>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（5）全区受涝面积在0.5～1万亩以内；</w:t>
      </w:r>
    </w:p>
    <w:p w14:paraId="3CDCB673">
      <w:pPr>
        <w:adjustRightInd w:val="0"/>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（6）市防指针对我区启动防汛</w:t>
      </w:r>
      <w:r>
        <w:rPr>
          <w:rFonts w:hint="eastAsia" w:ascii="宋体" w:hAnsi="宋体" w:eastAsia="宋体" w:cs="宋体"/>
          <w:kern w:val="0"/>
          <w:sz w:val="32"/>
          <w:szCs w:val="32"/>
        </w:rPr>
        <w:t>Ⅲ</w:t>
      </w:r>
      <w:r>
        <w:rPr>
          <w:rFonts w:ascii="Times New Roman" w:hAnsi="Times New Roman" w:eastAsia="仿宋_GB2312"/>
          <w:kern w:val="0"/>
          <w:sz w:val="32"/>
          <w:szCs w:val="32"/>
        </w:rPr>
        <w:t>级响应。</w:t>
      </w:r>
    </w:p>
    <w:p w14:paraId="35DAF91E">
      <w:pPr>
        <w:adjustRightInd w:val="0"/>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 xml:space="preserve">4.1.3  </w:t>
      </w:r>
      <w:r>
        <w:rPr>
          <w:rFonts w:hint="eastAsia" w:ascii="宋体" w:hAnsi="宋体" w:eastAsia="宋体" w:cs="宋体"/>
          <w:kern w:val="0"/>
          <w:sz w:val="32"/>
          <w:szCs w:val="32"/>
        </w:rPr>
        <w:t>Ⅱ</w:t>
      </w:r>
      <w:r>
        <w:rPr>
          <w:rFonts w:ascii="Times New Roman" w:hAnsi="Times New Roman" w:eastAsia="仿宋_GB2312"/>
          <w:kern w:val="0"/>
          <w:sz w:val="32"/>
          <w:szCs w:val="32"/>
        </w:rPr>
        <w:t>级响应</w:t>
      </w:r>
      <w:bookmarkEnd w:id="93"/>
      <w:bookmarkEnd w:id="94"/>
    </w:p>
    <w:p w14:paraId="04DCCB26">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出现下列条件之一，经综合研判后，启动全区或局部</w:t>
      </w:r>
      <w:r>
        <w:rPr>
          <w:rFonts w:hint="eastAsia" w:ascii="宋体" w:hAnsi="宋体" w:eastAsia="宋体" w:cs="宋体"/>
          <w:sz w:val="32"/>
          <w:szCs w:val="32"/>
        </w:rPr>
        <w:t>Ⅱ</w:t>
      </w:r>
      <w:r>
        <w:rPr>
          <w:rFonts w:ascii="Times New Roman" w:hAnsi="Times New Roman" w:eastAsia="仿宋_GB2312"/>
          <w:sz w:val="32"/>
          <w:szCs w:val="32"/>
        </w:rPr>
        <w:t>级响应。</w:t>
      </w:r>
    </w:p>
    <w:p w14:paraId="0CC83295">
      <w:pPr>
        <w:adjustRightInd w:val="0"/>
        <w:snapToGrid w:val="0"/>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（1）市防指针对新沭河启动</w:t>
      </w:r>
      <w:r>
        <w:rPr>
          <w:rFonts w:hint="eastAsia" w:ascii="宋体" w:hAnsi="宋体" w:eastAsia="宋体" w:cs="宋体"/>
          <w:spacing w:val="-8"/>
          <w:sz w:val="32"/>
          <w:szCs w:val="32"/>
        </w:rPr>
        <w:t>Ⅱ</w:t>
      </w:r>
      <w:r>
        <w:rPr>
          <w:rFonts w:ascii="Times New Roman" w:hAnsi="Times New Roman" w:eastAsia="仿宋_GB2312"/>
          <w:sz w:val="32"/>
          <w:szCs w:val="32"/>
        </w:rPr>
        <w:t>级响应；</w:t>
      </w:r>
    </w:p>
    <w:p w14:paraId="57DF5D6D">
      <w:pPr>
        <w:adjustRightInd w:val="0"/>
        <w:snapToGrid w:val="0"/>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（2）市防指针对东盐河、排淡河启动城市防洪</w:t>
      </w:r>
      <w:r>
        <w:rPr>
          <w:rFonts w:hint="eastAsia" w:ascii="宋体" w:hAnsi="宋体" w:eastAsia="宋体" w:cs="宋体"/>
          <w:spacing w:val="-8"/>
          <w:sz w:val="32"/>
          <w:szCs w:val="32"/>
        </w:rPr>
        <w:t>Ⅱ</w:t>
      </w:r>
      <w:r>
        <w:rPr>
          <w:rFonts w:ascii="Times New Roman" w:hAnsi="Times New Roman" w:eastAsia="仿宋_GB2312"/>
          <w:sz w:val="32"/>
          <w:szCs w:val="32"/>
        </w:rPr>
        <w:t>级响应；</w:t>
      </w:r>
    </w:p>
    <w:p w14:paraId="76737533">
      <w:pPr>
        <w:adjustRightInd w:val="0"/>
        <w:snapToGrid w:val="0"/>
        <w:spacing w:line="360" w:lineRule="auto"/>
        <w:ind w:firstLine="640" w:firstLineChars="200"/>
        <w:rPr>
          <w:rFonts w:ascii="Times New Roman" w:hAnsi="Times New Roman" w:eastAsia="仿宋_GB2312"/>
          <w:sz w:val="32"/>
          <w:szCs w:val="32"/>
        </w:rPr>
      </w:pPr>
      <w:bookmarkStart w:id="95" w:name="_Toc36652002"/>
      <w:bookmarkStart w:id="96" w:name="_Toc32545"/>
      <w:r>
        <w:rPr>
          <w:rFonts w:ascii="Times New Roman" w:hAnsi="Times New Roman" w:eastAsia="仿宋_GB2312"/>
          <w:sz w:val="32"/>
          <w:szCs w:val="32"/>
        </w:rPr>
        <w:t>（3）新沭河（石梁河水库）行洪流量5000</w:t>
      </w:r>
      <w:r>
        <w:rPr>
          <w:rFonts w:hint="eastAsia" w:ascii="宋体" w:hAnsi="宋体" w:eastAsia="宋体" w:cs="宋体"/>
          <w:sz w:val="32"/>
          <w:szCs w:val="32"/>
        </w:rPr>
        <w:t>≦</w:t>
      </w:r>
      <w:r>
        <w:rPr>
          <w:rFonts w:ascii="Times New Roman" w:hAnsi="Times New Roman" w:eastAsia="仿宋_GB2312"/>
          <w:sz w:val="32"/>
          <w:szCs w:val="32"/>
        </w:rPr>
        <w:t>Q＜6000m</w:t>
      </w:r>
      <w:r>
        <w:rPr>
          <w:rFonts w:ascii="Times New Roman" w:hAnsi="Times New Roman" w:eastAsia="仿宋_GB2312"/>
          <w:sz w:val="32"/>
          <w:szCs w:val="32"/>
          <w:vertAlign w:val="superscript"/>
        </w:rPr>
        <w:t>3</w:t>
      </w:r>
      <w:r>
        <w:rPr>
          <w:rFonts w:ascii="Times New Roman" w:hAnsi="Times New Roman" w:eastAsia="仿宋_GB2312"/>
          <w:sz w:val="32"/>
          <w:szCs w:val="32"/>
        </w:rPr>
        <w:t>/s；</w:t>
      </w:r>
    </w:p>
    <w:p w14:paraId="688E8419">
      <w:pPr>
        <w:adjustRightInd w:val="0"/>
        <w:snapToGrid w:val="0"/>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（4）小水库、塘坝及骨干河道等出现重大险情；</w:t>
      </w:r>
    </w:p>
    <w:p w14:paraId="78F6104D">
      <w:pPr>
        <w:pStyle w:val="2"/>
        <w:adjustRightInd w:val="0"/>
        <w:snapToGrid w:val="0"/>
        <w:ind w:left="0" w:firstLine="640"/>
        <w:rPr>
          <w:rFonts w:cs="Times New Roman"/>
          <w:sz w:val="32"/>
          <w:szCs w:val="32"/>
        </w:rPr>
      </w:pPr>
      <w:r>
        <w:rPr>
          <w:rFonts w:eastAsia="仿宋_GB2312" w:cs="Times New Roman"/>
          <w:sz w:val="32"/>
          <w:szCs w:val="32"/>
        </w:rPr>
        <w:t>（5）受涝面积超过1万亩，绝收面积超过5000亩；</w:t>
      </w:r>
    </w:p>
    <w:p w14:paraId="7FEF7FDA">
      <w:pPr>
        <w:adjustRightInd w:val="0"/>
        <w:snapToGrid w:val="0"/>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（6）因洪水影响需转移50人以上，500人以下；</w:t>
      </w:r>
    </w:p>
    <w:p w14:paraId="0E378FEA">
      <w:pPr>
        <w:adjustRightInd w:val="0"/>
        <w:snapToGrid w:val="0"/>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（7）市防指针对我区启动防汛</w:t>
      </w:r>
      <w:r>
        <w:rPr>
          <w:rFonts w:hint="eastAsia" w:ascii="宋体" w:hAnsi="宋体" w:eastAsia="宋体" w:cs="宋体"/>
          <w:sz w:val="32"/>
          <w:szCs w:val="32"/>
        </w:rPr>
        <w:t>Ⅱ</w:t>
      </w:r>
      <w:r>
        <w:rPr>
          <w:rFonts w:ascii="Times New Roman" w:hAnsi="Times New Roman" w:eastAsia="仿宋_GB2312"/>
          <w:sz w:val="32"/>
          <w:szCs w:val="32"/>
        </w:rPr>
        <w:t>级响应。</w:t>
      </w:r>
    </w:p>
    <w:p w14:paraId="59701C13">
      <w:pPr>
        <w:adjustRightInd w:val="0"/>
        <w:snapToGrid w:val="0"/>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4.1.4  </w:t>
      </w:r>
      <w:r>
        <w:rPr>
          <w:rFonts w:hint="eastAsia" w:ascii="宋体" w:hAnsi="宋体" w:eastAsia="宋体" w:cs="宋体"/>
          <w:sz w:val="32"/>
          <w:szCs w:val="32"/>
        </w:rPr>
        <w:t>Ⅰ</w:t>
      </w:r>
      <w:r>
        <w:rPr>
          <w:rFonts w:ascii="Times New Roman" w:hAnsi="Times New Roman" w:eastAsia="仿宋_GB2312"/>
          <w:sz w:val="32"/>
          <w:szCs w:val="32"/>
        </w:rPr>
        <w:t>级响应</w:t>
      </w:r>
      <w:bookmarkEnd w:id="95"/>
      <w:bookmarkEnd w:id="96"/>
    </w:p>
    <w:p w14:paraId="418DAC04">
      <w:pPr>
        <w:adjustRightInd w:val="0"/>
        <w:snapToGrid w:val="0"/>
        <w:spacing w:line="360" w:lineRule="auto"/>
        <w:ind w:firstLine="616" w:firstLineChars="200"/>
        <w:rPr>
          <w:rFonts w:ascii="Times New Roman" w:hAnsi="Times New Roman" w:eastAsia="仿宋_GB2312"/>
          <w:spacing w:val="-6"/>
          <w:sz w:val="32"/>
          <w:szCs w:val="32"/>
        </w:rPr>
      </w:pPr>
      <w:r>
        <w:rPr>
          <w:rFonts w:ascii="Times New Roman" w:hAnsi="Times New Roman" w:eastAsia="仿宋_GB2312"/>
          <w:spacing w:val="-6"/>
          <w:sz w:val="32"/>
          <w:szCs w:val="32"/>
        </w:rPr>
        <w:t>出现下列条件之一，经综合研判后，启动全区或局部</w:t>
      </w:r>
      <w:r>
        <w:rPr>
          <w:rFonts w:hint="eastAsia" w:ascii="宋体" w:hAnsi="宋体" w:eastAsia="宋体" w:cs="宋体"/>
          <w:spacing w:val="-6"/>
          <w:sz w:val="32"/>
          <w:szCs w:val="32"/>
        </w:rPr>
        <w:t>Ⅰ</w:t>
      </w:r>
      <w:r>
        <w:rPr>
          <w:rFonts w:ascii="Times New Roman" w:hAnsi="Times New Roman" w:eastAsia="仿宋_GB2312"/>
          <w:spacing w:val="-6"/>
          <w:sz w:val="32"/>
          <w:szCs w:val="32"/>
        </w:rPr>
        <w:t>级响应。</w:t>
      </w:r>
    </w:p>
    <w:p w14:paraId="7DA107BC">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（1）市防指针对新沭河启动</w:t>
      </w:r>
      <w:r>
        <w:rPr>
          <w:rFonts w:hint="eastAsia" w:ascii="宋体" w:hAnsi="宋体" w:eastAsia="宋体" w:cs="宋体"/>
          <w:spacing w:val="-6"/>
          <w:sz w:val="32"/>
          <w:szCs w:val="32"/>
        </w:rPr>
        <w:t>Ⅰ</w:t>
      </w:r>
      <w:r>
        <w:rPr>
          <w:rFonts w:ascii="Times New Roman" w:hAnsi="Times New Roman" w:eastAsia="仿宋_GB2312"/>
          <w:sz w:val="32"/>
          <w:szCs w:val="32"/>
        </w:rPr>
        <w:t>级响应；</w:t>
      </w:r>
    </w:p>
    <w:p w14:paraId="0C65C754">
      <w:pPr>
        <w:pStyle w:val="2"/>
        <w:adjustRightInd w:val="0"/>
        <w:snapToGrid w:val="0"/>
        <w:spacing w:line="560" w:lineRule="exact"/>
        <w:ind w:left="0" w:firstLine="640"/>
        <w:rPr>
          <w:rFonts w:eastAsia="仿宋_GB2312" w:cs="Times New Roman"/>
          <w:spacing w:val="-6"/>
          <w:sz w:val="32"/>
          <w:szCs w:val="32"/>
        </w:rPr>
      </w:pPr>
      <w:r>
        <w:rPr>
          <w:rFonts w:eastAsia="仿宋_GB2312" w:cs="Times New Roman"/>
          <w:sz w:val="32"/>
          <w:szCs w:val="32"/>
        </w:rPr>
        <w:t>（2）市防指针对东盐河、排淡河启动城市防洪</w:t>
      </w:r>
      <w:r>
        <w:rPr>
          <w:rFonts w:hint="eastAsia" w:ascii="宋体" w:hAnsi="宋体"/>
          <w:spacing w:val="-6"/>
          <w:sz w:val="32"/>
          <w:szCs w:val="32"/>
        </w:rPr>
        <w:t>Ⅰ</w:t>
      </w:r>
      <w:r>
        <w:rPr>
          <w:rFonts w:eastAsia="仿宋_GB2312" w:cs="Times New Roman"/>
          <w:sz w:val="32"/>
          <w:szCs w:val="32"/>
        </w:rPr>
        <w:t>级响应；</w:t>
      </w:r>
    </w:p>
    <w:p w14:paraId="17D69D05">
      <w:pPr>
        <w:adjustRightInd w:val="0"/>
        <w:snapToGrid w:val="0"/>
        <w:spacing w:line="560" w:lineRule="exact"/>
        <w:ind w:firstLine="640" w:firstLineChars="200"/>
        <w:rPr>
          <w:rFonts w:ascii="Times New Roman" w:hAnsi="Times New Roman" w:eastAsia="仿宋_GB2312"/>
          <w:sz w:val="32"/>
          <w:szCs w:val="32"/>
        </w:rPr>
      </w:pPr>
      <w:bookmarkStart w:id="97" w:name="_Toc42177998"/>
      <w:bookmarkStart w:id="98" w:name="_Toc36652003"/>
      <w:r>
        <w:rPr>
          <w:rFonts w:ascii="Times New Roman" w:hAnsi="Times New Roman" w:eastAsia="仿宋_GB2312"/>
          <w:sz w:val="32"/>
          <w:szCs w:val="32"/>
        </w:rPr>
        <w:t>（3）新沭河（石梁河水库）行洪流量≥6000m</w:t>
      </w:r>
      <w:r>
        <w:rPr>
          <w:rFonts w:ascii="Times New Roman" w:hAnsi="Times New Roman" w:eastAsia="仿宋_GB2312"/>
          <w:sz w:val="32"/>
          <w:szCs w:val="32"/>
          <w:vertAlign w:val="superscript"/>
        </w:rPr>
        <w:t>3</w:t>
      </w:r>
      <w:r>
        <w:rPr>
          <w:rFonts w:ascii="Times New Roman" w:hAnsi="Times New Roman" w:eastAsia="仿宋_GB2312"/>
          <w:sz w:val="32"/>
          <w:szCs w:val="32"/>
        </w:rPr>
        <w:t>/s；</w:t>
      </w:r>
    </w:p>
    <w:p w14:paraId="7F546907">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（4）小水库、塘坝及骨干河道等出现特别重大险情； </w:t>
      </w:r>
    </w:p>
    <w:p w14:paraId="0F05CC86">
      <w:pPr>
        <w:pStyle w:val="2"/>
        <w:adjustRightInd w:val="0"/>
        <w:snapToGrid w:val="0"/>
        <w:spacing w:line="560" w:lineRule="exact"/>
        <w:ind w:left="0" w:firstLine="640"/>
        <w:rPr>
          <w:rFonts w:cs="Times New Roman"/>
          <w:sz w:val="32"/>
          <w:szCs w:val="32"/>
        </w:rPr>
      </w:pPr>
      <w:r>
        <w:rPr>
          <w:rFonts w:eastAsia="仿宋_GB2312" w:cs="Times New Roman"/>
          <w:sz w:val="32"/>
          <w:szCs w:val="32"/>
        </w:rPr>
        <w:t>（5）受涝面积超</w:t>
      </w:r>
      <w:r>
        <w:rPr>
          <w:rFonts w:eastAsia="仿宋_GB2312" w:cs="Times New Roman"/>
          <w:spacing w:val="-6"/>
          <w:sz w:val="32"/>
          <w:szCs w:val="32"/>
        </w:rPr>
        <w:t>过2万</w:t>
      </w:r>
      <w:r>
        <w:rPr>
          <w:rFonts w:eastAsia="仿宋_GB2312" w:cs="Times New Roman"/>
          <w:sz w:val="32"/>
          <w:szCs w:val="32"/>
        </w:rPr>
        <w:t>亩，绝收面积超过1万亩；</w:t>
      </w:r>
    </w:p>
    <w:p w14:paraId="60B7BD6B">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（6）因洪水影响需转移1000人以上；</w:t>
      </w:r>
    </w:p>
    <w:p w14:paraId="7343D73A">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（7）市防指针对我区启动防汛</w:t>
      </w:r>
      <w:r>
        <w:rPr>
          <w:rFonts w:hint="eastAsia" w:ascii="宋体" w:hAnsi="宋体" w:eastAsia="宋体" w:cs="宋体"/>
          <w:sz w:val="32"/>
          <w:szCs w:val="32"/>
        </w:rPr>
        <w:t>Ⅰ</w:t>
      </w:r>
      <w:r>
        <w:rPr>
          <w:rFonts w:ascii="Times New Roman" w:hAnsi="Times New Roman" w:eastAsia="仿宋_GB2312"/>
          <w:sz w:val="32"/>
          <w:szCs w:val="32"/>
        </w:rPr>
        <w:t>级响应。</w:t>
      </w:r>
    </w:p>
    <w:p w14:paraId="3A10DB21">
      <w:pPr>
        <w:keepNext/>
        <w:keepLines/>
        <w:adjustRightInd w:val="0"/>
        <w:snapToGrid w:val="0"/>
        <w:spacing w:line="560" w:lineRule="exact"/>
        <w:ind w:firstLine="640" w:firstLineChars="200"/>
        <w:outlineLvl w:val="2"/>
        <w:rPr>
          <w:rFonts w:ascii="Times New Roman" w:hAnsi="Times New Roman" w:eastAsia="楷体_GB2312"/>
          <w:sz w:val="32"/>
          <w:szCs w:val="32"/>
        </w:rPr>
      </w:pPr>
      <w:bookmarkStart w:id="99" w:name="_Toc27904"/>
      <w:r>
        <w:rPr>
          <w:rFonts w:ascii="Times New Roman" w:hAnsi="Times New Roman" w:eastAsia="楷体_GB2312"/>
          <w:sz w:val="32"/>
          <w:szCs w:val="32"/>
        </w:rPr>
        <w:t>4.2  抗旱应急响应启用条件</w:t>
      </w:r>
      <w:bookmarkEnd w:id="97"/>
      <w:bookmarkEnd w:id="98"/>
      <w:bookmarkEnd w:id="99"/>
      <w:r>
        <w:rPr>
          <w:rFonts w:ascii="Times New Roman" w:hAnsi="Times New Roman" w:eastAsia="楷体_GB2312"/>
          <w:sz w:val="32"/>
          <w:szCs w:val="32"/>
        </w:rPr>
        <w:t xml:space="preserve"> </w:t>
      </w:r>
    </w:p>
    <w:p w14:paraId="41CF93FC">
      <w:pPr>
        <w:adjustRightInd w:val="0"/>
        <w:snapToGrid w:val="0"/>
        <w:spacing w:line="560" w:lineRule="exact"/>
        <w:ind w:firstLine="640" w:firstLineChars="200"/>
        <w:rPr>
          <w:rFonts w:ascii="Times New Roman" w:hAnsi="Times New Roman" w:eastAsia="仿宋_GB2312"/>
          <w:sz w:val="32"/>
          <w:szCs w:val="32"/>
        </w:rPr>
      </w:pPr>
      <w:bookmarkStart w:id="100" w:name="_Toc6543"/>
      <w:bookmarkStart w:id="101" w:name="_Toc36652004"/>
      <w:r>
        <w:rPr>
          <w:rFonts w:ascii="Times New Roman" w:hAnsi="Times New Roman" w:eastAsia="仿宋_GB2312"/>
          <w:sz w:val="32"/>
          <w:szCs w:val="32"/>
        </w:rPr>
        <w:t xml:space="preserve">4.2.1  </w:t>
      </w:r>
      <w:r>
        <w:rPr>
          <w:rFonts w:hint="eastAsia" w:ascii="宋体" w:hAnsi="宋体" w:eastAsia="宋体" w:cs="宋体"/>
          <w:sz w:val="32"/>
          <w:szCs w:val="32"/>
        </w:rPr>
        <w:t>Ⅳ</w:t>
      </w:r>
      <w:r>
        <w:rPr>
          <w:rFonts w:ascii="Times New Roman" w:hAnsi="Times New Roman" w:eastAsia="仿宋_GB2312"/>
          <w:sz w:val="32"/>
          <w:szCs w:val="32"/>
        </w:rPr>
        <w:t>级响应</w:t>
      </w:r>
      <w:bookmarkEnd w:id="100"/>
      <w:bookmarkEnd w:id="101"/>
    </w:p>
    <w:p w14:paraId="6DBF3D7D">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出现下列条件之一，经综合研判后，启动全区或局部</w:t>
      </w:r>
      <w:r>
        <w:rPr>
          <w:rFonts w:hint="eastAsia" w:ascii="宋体" w:hAnsi="宋体" w:eastAsia="宋体" w:cs="宋体"/>
          <w:sz w:val="32"/>
          <w:szCs w:val="32"/>
        </w:rPr>
        <w:t>Ⅳ</w:t>
      </w:r>
      <w:r>
        <w:rPr>
          <w:rFonts w:ascii="Times New Roman" w:hAnsi="Times New Roman" w:eastAsia="仿宋_GB2312"/>
          <w:sz w:val="32"/>
          <w:szCs w:val="32"/>
        </w:rPr>
        <w:t>级干旱响应。</w:t>
      </w:r>
    </w:p>
    <w:p w14:paraId="73158DA8">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（1）夏季连续10-20天、春秋季节连续15-25天无降雨；</w:t>
      </w:r>
    </w:p>
    <w:p w14:paraId="76C8B93E">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（2）街道、盐场同时发生轻度干旱，受旱面积10%~30%；</w:t>
      </w:r>
    </w:p>
    <w:p w14:paraId="79E7C308">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（3）市防指针对我区启动抗旱</w:t>
      </w:r>
      <w:r>
        <w:rPr>
          <w:rFonts w:hint="eastAsia" w:ascii="宋体" w:hAnsi="宋体" w:eastAsia="宋体" w:cs="宋体"/>
          <w:sz w:val="32"/>
          <w:szCs w:val="32"/>
        </w:rPr>
        <w:t>Ⅳ</w:t>
      </w:r>
      <w:r>
        <w:rPr>
          <w:rFonts w:ascii="Times New Roman" w:hAnsi="Times New Roman" w:eastAsia="仿宋_GB2312"/>
          <w:sz w:val="32"/>
          <w:szCs w:val="32"/>
        </w:rPr>
        <w:t>级响应。</w:t>
      </w:r>
    </w:p>
    <w:p w14:paraId="76F54D41">
      <w:pPr>
        <w:adjustRightInd w:val="0"/>
        <w:snapToGrid w:val="0"/>
        <w:spacing w:line="560" w:lineRule="exact"/>
        <w:ind w:firstLine="640" w:firstLineChars="200"/>
        <w:rPr>
          <w:rFonts w:ascii="Times New Roman" w:hAnsi="Times New Roman" w:eastAsia="仿宋_GB2312"/>
          <w:sz w:val="32"/>
          <w:szCs w:val="32"/>
        </w:rPr>
      </w:pPr>
      <w:bookmarkStart w:id="102" w:name="_Toc36652005"/>
      <w:bookmarkStart w:id="103" w:name="_Toc22469"/>
      <w:r>
        <w:rPr>
          <w:rFonts w:ascii="Times New Roman" w:hAnsi="Times New Roman" w:eastAsia="仿宋_GB2312"/>
          <w:sz w:val="32"/>
          <w:szCs w:val="32"/>
        </w:rPr>
        <w:t xml:space="preserve">4.2.2  </w:t>
      </w:r>
      <w:r>
        <w:rPr>
          <w:rFonts w:hint="eastAsia" w:ascii="宋体" w:hAnsi="宋体" w:eastAsia="宋体" w:cs="宋体"/>
          <w:sz w:val="32"/>
          <w:szCs w:val="32"/>
        </w:rPr>
        <w:t>Ⅲ</w:t>
      </w:r>
      <w:r>
        <w:rPr>
          <w:rFonts w:ascii="Times New Roman" w:hAnsi="Times New Roman" w:eastAsia="仿宋_GB2312"/>
          <w:sz w:val="32"/>
          <w:szCs w:val="32"/>
        </w:rPr>
        <w:t>级响应</w:t>
      </w:r>
      <w:bookmarkEnd w:id="102"/>
      <w:bookmarkEnd w:id="103"/>
    </w:p>
    <w:p w14:paraId="15C57ED4">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出现下列条件之一，经综合研判后，启动全区或局部</w:t>
      </w:r>
      <w:r>
        <w:rPr>
          <w:rFonts w:hint="eastAsia" w:ascii="宋体" w:hAnsi="宋体" w:eastAsia="宋体" w:cs="宋体"/>
          <w:sz w:val="32"/>
          <w:szCs w:val="32"/>
        </w:rPr>
        <w:t>Ⅲ</w:t>
      </w:r>
      <w:r>
        <w:rPr>
          <w:rFonts w:ascii="Times New Roman" w:hAnsi="Times New Roman" w:eastAsia="仿宋_GB2312"/>
          <w:sz w:val="32"/>
          <w:szCs w:val="32"/>
        </w:rPr>
        <w:t>级干旱响应。</w:t>
      </w:r>
    </w:p>
    <w:p w14:paraId="7680AB21">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（1）夏季连续21-30天、春秋季节连续26-45天无降雨；</w:t>
      </w:r>
    </w:p>
    <w:p w14:paraId="5D49A9C3">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（2）街道、盐场同时发生中度以上的干旱灾害，受旱面积30%～50%；</w:t>
      </w:r>
    </w:p>
    <w:p w14:paraId="6FFDF6CC">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（3）市防指针对我区启动抗旱</w:t>
      </w:r>
      <w:r>
        <w:rPr>
          <w:rFonts w:hint="eastAsia" w:ascii="宋体" w:hAnsi="宋体" w:eastAsia="宋体" w:cs="宋体"/>
          <w:sz w:val="32"/>
          <w:szCs w:val="32"/>
        </w:rPr>
        <w:t>Ⅲ</w:t>
      </w:r>
      <w:r>
        <w:rPr>
          <w:rFonts w:ascii="Times New Roman" w:hAnsi="Times New Roman" w:eastAsia="仿宋_GB2312"/>
          <w:sz w:val="32"/>
          <w:szCs w:val="32"/>
        </w:rPr>
        <w:t>级响应。</w:t>
      </w:r>
    </w:p>
    <w:p w14:paraId="423C9A64">
      <w:pPr>
        <w:adjustRightInd w:val="0"/>
        <w:snapToGrid w:val="0"/>
        <w:spacing w:line="590" w:lineRule="exact"/>
        <w:ind w:firstLine="640" w:firstLineChars="200"/>
        <w:rPr>
          <w:rFonts w:ascii="Times New Roman" w:hAnsi="Times New Roman" w:eastAsia="仿宋_GB2312"/>
          <w:sz w:val="32"/>
          <w:szCs w:val="32"/>
        </w:rPr>
      </w:pPr>
      <w:bookmarkStart w:id="104" w:name="_Toc36652006"/>
      <w:bookmarkStart w:id="105" w:name="_Toc13782"/>
      <w:r>
        <w:rPr>
          <w:rFonts w:ascii="Times New Roman" w:hAnsi="Times New Roman" w:eastAsia="仿宋_GB2312"/>
          <w:sz w:val="32"/>
          <w:szCs w:val="32"/>
        </w:rPr>
        <w:t xml:space="preserve">4.2.3  </w:t>
      </w:r>
      <w:r>
        <w:rPr>
          <w:rFonts w:hint="eastAsia" w:ascii="宋体" w:hAnsi="宋体" w:eastAsia="宋体" w:cs="宋体"/>
          <w:sz w:val="32"/>
          <w:szCs w:val="32"/>
        </w:rPr>
        <w:t>Ⅱ</w:t>
      </w:r>
      <w:r>
        <w:rPr>
          <w:rFonts w:ascii="Times New Roman" w:hAnsi="Times New Roman" w:eastAsia="仿宋_GB2312"/>
          <w:sz w:val="32"/>
          <w:szCs w:val="32"/>
        </w:rPr>
        <w:t>级响应</w:t>
      </w:r>
      <w:bookmarkEnd w:id="104"/>
      <w:bookmarkEnd w:id="105"/>
    </w:p>
    <w:p w14:paraId="588F5C79">
      <w:pPr>
        <w:adjustRightInd w:val="0"/>
        <w:snapToGrid w:val="0"/>
        <w:spacing w:line="59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出现下列条件之一，经综合研判后，启动全区或局部</w:t>
      </w:r>
      <w:r>
        <w:rPr>
          <w:rFonts w:hint="eastAsia" w:ascii="宋体" w:hAnsi="宋体" w:eastAsia="宋体" w:cs="宋体"/>
          <w:sz w:val="32"/>
          <w:szCs w:val="32"/>
        </w:rPr>
        <w:t>Ⅱ</w:t>
      </w:r>
      <w:r>
        <w:rPr>
          <w:rFonts w:ascii="Times New Roman" w:hAnsi="Times New Roman" w:eastAsia="仿宋_GB2312"/>
          <w:sz w:val="32"/>
          <w:szCs w:val="32"/>
        </w:rPr>
        <w:t>级干旱响应。</w:t>
      </w:r>
    </w:p>
    <w:p w14:paraId="0CFEB542">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（1）夏季连续31-45天、春秋季节连续46-70天无降雨；</w:t>
      </w:r>
    </w:p>
    <w:p w14:paraId="6CF6D3C3">
      <w:pPr>
        <w:adjustRightInd w:val="0"/>
        <w:snapToGrid w:val="0"/>
        <w:spacing w:line="59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（2）街道、盐场发生严重干旱，受旱面积50%～70%；</w:t>
      </w:r>
    </w:p>
    <w:p w14:paraId="7B773B1A">
      <w:pPr>
        <w:adjustRightInd w:val="0"/>
        <w:snapToGrid w:val="0"/>
        <w:spacing w:line="59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（3）市防指针对我区启动抗旱</w:t>
      </w:r>
      <w:r>
        <w:rPr>
          <w:rFonts w:hint="eastAsia" w:ascii="宋体" w:hAnsi="宋体" w:eastAsia="宋体" w:cs="宋体"/>
          <w:sz w:val="32"/>
          <w:szCs w:val="32"/>
        </w:rPr>
        <w:t>Ⅱ</w:t>
      </w:r>
      <w:r>
        <w:rPr>
          <w:rFonts w:ascii="Times New Roman" w:hAnsi="Times New Roman" w:eastAsia="仿宋_GB2312"/>
          <w:sz w:val="32"/>
          <w:szCs w:val="32"/>
        </w:rPr>
        <w:t>级响应。</w:t>
      </w:r>
    </w:p>
    <w:p w14:paraId="700E2FC5">
      <w:pPr>
        <w:adjustRightInd w:val="0"/>
        <w:snapToGrid w:val="0"/>
        <w:spacing w:line="590" w:lineRule="exact"/>
        <w:ind w:firstLine="640" w:firstLineChars="200"/>
        <w:rPr>
          <w:rFonts w:ascii="Times New Roman" w:hAnsi="Times New Roman" w:eastAsia="仿宋_GB2312"/>
          <w:sz w:val="32"/>
          <w:szCs w:val="32"/>
        </w:rPr>
      </w:pPr>
      <w:bookmarkStart w:id="106" w:name="_Toc19959"/>
      <w:bookmarkStart w:id="107" w:name="_Toc36652007"/>
      <w:r>
        <w:rPr>
          <w:rFonts w:ascii="Times New Roman" w:hAnsi="Times New Roman" w:eastAsia="仿宋_GB2312"/>
          <w:sz w:val="32"/>
          <w:szCs w:val="32"/>
        </w:rPr>
        <w:t xml:space="preserve">4.2.4  </w:t>
      </w:r>
      <w:r>
        <w:rPr>
          <w:rFonts w:hint="eastAsia" w:ascii="宋体" w:hAnsi="宋体" w:eastAsia="宋体" w:cs="宋体"/>
          <w:sz w:val="32"/>
          <w:szCs w:val="32"/>
        </w:rPr>
        <w:t>Ⅰ</w:t>
      </w:r>
      <w:r>
        <w:rPr>
          <w:rFonts w:ascii="Times New Roman" w:hAnsi="Times New Roman" w:eastAsia="仿宋_GB2312"/>
          <w:sz w:val="32"/>
          <w:szCs w:val="32"/>
        </w:rPr>
        <w:t>级响应</w:t>
      </w:r>
      <w:bookmarkEnd w:id="106"/>
      <w:bookmarkEnd w:id="107"/>
    </w:p>
    <w:p w14:paraId="4918D928">
      <w:pPr>
        <w:adjustRightInd w:val="0"/>
        <w:snapToGrid w:val="0"/>
        <w:spacing w:line="59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出现下列条件之一，经综合研判后，启动全区或局部</w:t>
      </w:r>
      <w:r>
        <w:rPr>
          <w:rFonts w:hint="eastAsia" w:ascii="宋体" w:hAnsi="宋体" w:eastAsia="宋体" w:cs="宋体"/>
          <w:sz w:val="32"/>
          <w:szCs w:val="32"/>
        </w:rPr>
        <w:t>Ⅰ</w:t>
      </w:r>
      <w:r>
        <w:rPr>
          <w:rFonts w:ascii="Times New Roman" w:hAnsi="Times New Roman" w:eastAsia="仿宋_GB2312"/>
          <w:sz w:val="32"/>
          <w:szCs w:val="32"/>
        </w:rPr>
        <w:t>级干旱响应。</w:t>
      </w:r>
    </w:p>
    <w:p w14:paraId="59E31299">
      <w:pPr>
        <w:adjustRightInd w:val="0"/>
        <w:snapToGrid w:val="0"/>
        <w:spacing w:line="59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（1）夏季连续大于45天、春秋季节连续大于70天无降雨；</w:t>
      </w:r>
    </w:p>
    <w:p w14:paraId="17B47080">
      <w:pPr>
        <w:adjustRightInd w:val="0"/>
        <w:snapToGrid w:val="0"/>
        <w:spacing w:line="59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（2）街道、盐场发生特大干旱，受旱面积超过70%；</w:t>
      </w:r>
    </w:p>
    <w:p w14:paraId="71964A12">
      <w:pPr>
        <w:adjustRightInd w:val="0"/>
        <w:snapToGrid w:val="0"/>
        <w:spacing w:line="59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（3）市防指针对我区启动抗旱</w:t>
      </w:r>
      <w:r>
        <w:rPr>
          <w:rFonts w:hint="eastAsia" w:ascii="宋体" w:hAnsi="宋体" w:eastAsia="宋体" w:cs="宋体"/>
          <w:sz w:val="32"/>
          <w:szCs w:val="32"/>
        </w:rPr>
        <w:t>Ⅰ</w:t>
      </w:r>
      <w:r>
        <w:rPr>
          <w:rFonts w:ascii="Times New Roman" w:hAnsi="Times New Roman" w:eastAsia="仿宋_GB2312"/>
          <w:sz w:val="32"/>
          <w:szCs w:val="32"/>
        </w:rPr>
        <w:t>级响应。</w:t>
      </w:r>
    </w:p>
    <w:p w14:paraId="38F32527">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108" w:name="_Toc9269"/>
      <w:bookmarkStart w:id="109" w:name="_Toc36652008"/>
      <w:bookmarkStart w:id="110" w:name="_Toc42177999"/>
      <w:r>
        <w:rPr>
          <w:rFonts w:ascii="Times New Roman" w:hAnsi="Times New Roman" w:eastAsia="楷体_GB2312"/>
          <w:sz w:val="32"/>
          <w:szCs w:val="32"/>
        </w:rPr>
        <w:t>4.3  应急响应行动</w:t>
      </w:r>
      <w:bookmarkEnd w:id="108"/>
      <w:bookmarkEnd w:id="109"/>
      <w:bookmarkEnd w:id="110"/>
      <w:r>
        <w:rPr>
          <w:rFonts w:ascii="Times New Roman" w:hAnsi="Times New Roman" w:eastAsia="楷体_GB2312"/>
          <w:sz w:val="32"/>
          <w:szCs w:val="32"/>
        </w:rPr>
        <w:t xml:space="preserve"> </w:t>
      </w:r>
    </w:p>
    <w:p w14:paraId="00973DF7">
      <w:pPr>
        <w:adjustRightInd w:val="0"/>
        <w:snapToGrid w:val="0"/>
        <w:spacing w:line="570" w:lineRule="exact"/>
        <w:ind w:firstLine="640" w:firstLineChars="200"/>
        <w:rPr>
          <w:rFonts w:ascii="Times New Roman" w:hAnsi="Times New Roman" w:eastAsia="仿宋_GB2312"/>
          <w:sz w:val="32"/>
          <w:szCs w:val="32"/>
        </w:rPr>
      </w:pPr>
      <w:bookmarkStart w:id="111" w:name="_Toc36652009"/>
      <w:bookmarkStart w:id="112" w:name="_Toc14668"/>
      <w:r>
        <w:rPr>
          <w:rFonts w:ascii="Times New Roman" w:hAnsi="Times New Roman" w:eastAsia="仿宋_GB2312"/>
          <w:sz w:val="32"/>
          <w:szCs w:val="32"/>
        </w:rPr>
        <w:t xml:space="preserve">4.3.1  </w:t>
      </w:r>
      <w:r>
        <w:rPr>
          <w:rFonts w:hint="eastAsia" w:ascii="宋体" w:hAnsi="宋体" w:eastAsia="宋体" w:cs="宋体"/>
          <w:sz w:val="32"/>
          <w:szCs w:val="32"/>
        </w:rPr>
        <w:t>Ⅳ</w:t>
      </w:r>
      <w:r>
        <w:rPr>
          <w:rFonts w:ascii="Times New Roman" w:hAnsi="Times New Roman" w:eastAsia="仿宋_GB2312"/>
          <w:sz w:val="32"/>
          <w:szCs w:val="32"/>
        </w:rPr>
        <w:t>级响应行动</w:t>
      </w:r>
      <w:bookmarkEnd w:id="111"/>
      <w:bookmarkEnd w:id="112"/>
    </w:p>
    <w:p w14:paraId="5D720C53">
      <w:pPr>
        <w:adjustRightInd w:val="0"/>
        <w:snapToGrid w:val="0"/>
        <w:spacing w:line="570" w:lineRule="exact"/>
        <w:ind w:firstLine="640" w:firstLineChars="200"/>
        <w:rPr>
          <w:rFonts w:ascii="Times New Roman" w:hAnsi="Times New Roman" w:eastAsia="仿宋_GB2312"/>
          <w:sz w:val="32"/>
          <w:szCs w:val="32"/>
        </w:rPr>
      </w:pPr>
      <w:bookmarkStart w:id="113" w:name="_Toc15382"/>
      <w:bookmarkStart w:id="114" w:name="_Toc36652010"/>
      <w:r>
        <w:rPr>
          <w:rFonts w:ascii="Times New Roman" w:hAnsi="Times New Roman" w:eastAsia="仿宋_GB2312"/>
          <w:sz w:val="32"/>
          <w:szCs w:val="32"/>
        </w:rPr>
        <w:t>（1）由区防指副指挥决定启动</w:t>
      </w:r>
      <w:r>
        <w:rPr>
          <w:rFonts w:hint="eastAsia" w:ascii="宋体" w:hAnsi="宋体" w:eastAsia="宋体" w:cs="宋体"/>
          <w:sz w:val="32"/>
          <w:szCs w:val="32"/>
        </w:rPr>
        <w:t>Ⅳ</w:t>
      </w:r>
      <w:r>
        <w:rPr>
          <w:rFonts w:ascii="Times New Roman" w:hAnsi="Times New Roman" w:eastAsia="仿宋_GB2312"/>
          <w:sz w:val="32"/>
          <w:szCs w:val="32"/>
        </w:rPr>
        <w:t xml:space="preserve">级应急响应。 </w:t>
      </w:r>
    </w:p>
    <w:p w14:paraId="380D814A">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2）区防指副指挥或委托区防办负责人主持会商，市自然资源和规划局开发区分局、区社会事业局、区应急管理局等主要成员单位参加，研究分析汛情、旱情可能影响情况，作出相应工作安排。视情联系有关街道防指进行动员部署。 </w:t>
      </w:r>
    </w:p>
    <w:p w14:paraId="019A67DA">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（3）区防办实行24小时防汛值班，密切监视汛情、旱情、灾情变化。 </w:t>
      </w:r>
    </w:p>
    <w:p w14:paraId="28E7D315">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（4）区防指成员单位按照职能分工做好相关工作，按要求向区防办报告工作动态。 </w:t>
      </w:r>
    </w:p>
    <w:p w14:paraId="271B51EA">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（5）区防指按要求向市防指报告工作动态，突发灾情、险情及时报告。</w:t>
      </w:r>
    </w:p>
    <w:p w14:paraId="7C689625">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4.3.2  </w:t>
      </w:r>
      <w:r>
        <w:rPr>
          <w:rFonts w:hint="eastAsia" w:ascii="宋体" w:hAnsi="宋体" w:eastAsia="宋体" w:cs="宋体"/>
          <w:sz w:val="32"/>
          <w:szCs w:val="32"/>
        </w:rPr>
        <w:t>Ⅲ</w:t>
      </w:r>
      <w:r>
        <w:rPr>
          <w:rFonts w:ascii="Times New Roman" w:hAnsi="Times New Roman" w:eastAsia="仿宋_GB2312"/>
          <w:sz w:val="32"/>
          <w:szCs w:val="32"/>
        </w:rPr>
        <w:t>级响应行动</w:t>
      </w:r>
      <w:bookmarkEnd w:id="113"/>
      <w:bookmarkEnd w:id="114"/>
    </w:p>
    <w:p w14:paraId="049540C5">
      <w:pPr>
        <w:adjustRightInd w:val="0"/>
        <w:snapToGrid w:val="0"/>
        <w:spacing w:line="550" w:lineRule="exact"/>
        <w:ind w:firstLine="640" w:firstLineChars="200"/>
        <w:rPr>
          <w:rFonts w:ascii="Times New Roman" w:hAnsi="Times New Roman" w:eastAsia="仿宋_GB2312"/>
          <w:sz w:val="32"/>
          <w:szCs w:val="32"/>
        </w:rPr>
      </w:pPr>
      <w:bookmarkStart w:id="115" w:name="_Toc36652011"/>
      <w:bookmarkStart w:id="116" w:name="_Toc1416"/>
      <w:r>
        <w:rPr>
          <w:rFonts w:ascii="Times New Roman" w:hAnsi="Times New Roman" w:eastAsia="仿宋_GB2312"/>
          <w:sz w:val="32"/>
          <w:szCs w:val="32"/>
        </w:rPr>
        <w:t>（1）由区防指副指挥决定启动</w:t>
      </w:r>
      <w:r>
        <w:rPr>
          <w:rFonts w:hint="eastAsia" w:ascii="宋体" w:hAnsi="宋体" w:eastAsia="宋体" w:cs="宋体"/>
          <w:sz w:val="32"/>
          <w:szCs w:val="32"/>
        </w:rPr>
        <w:t>Ⅲ</w:t>
      </w:r>
      <w:r>
        <w:rPr>
          <w:rFonts w:ascii="Times New Roman" w:hAnsi="Times New Roman" w:eastAsia="仿宋_GB2312"/>
          <w:sz w:val="32"/>
          <w:szCs w:val="32"/>
        </w:rPr>
        <w:t xml:space="preserve">级应急响应。 </w:t>
      </w:r>
    </w:p>
    <w:p w14:paraId="070380B1">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由区防指副指挥主持会商，市自然资源和规划局开发区分局、区住房和城乡建设局、区社会事业局、区应急管理局等主要成员单位参加，研究分析汛情、旱情可能影响情况，部署防汛抗旱工作，明确工作目标和重点，发布人员转移命令。重要情况及时上报区管委会和市防指。视情联系有关街道防指进行动员部署。</w:t>
      </w:r>
    </w:p>
    <w:p w14:paraId="68429289">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（3）区防办主任带班，区防办实行24小时防汛值班。密切监视汛情、旱情、灾情变化，做好抢险物资队伍准备，视情向事发地派出工作组、专家组，指导防汛工作。 </w:t>
      </w:r>
    </w:p>
    <w:p w14:paraId="37ED6FAF">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（4）区防指成员单位按照职能分工做好相关工作，按要求向区防办报告工作动态。 </w:t>
      </w:r>
    </w:p>
    <w:p w14:paraId="3F4F692E">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（5）区防指按要求向市防指报告事情进展及工作动态，突发灾情、险情随时报告。</w:t>
      </w:r>
    </w:p>
    <w:p w14:paraId="4DEB7096">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4.3.3  </w:t>
      </w:r>
      <w:r>
        <w:rPr>
          <w:rFonts w:hint="eastAsia" w:ascii="宋体" w:hAnsi="宋体" w:eastAsia="宋体" w:cs="宋体"/>
          <w:sz w:val="32"/>
          <w:szCs w:val="32"/>
        </w:rPr>
        <w:t>Ⅱ</w:t>
      </w:r>
      <w:r>
        <w:rPr>
          <w:rFonts w:ascii="Times New Roman" w:hAnsi="Times New Roman" w:eastAsia="仿宋_GB2312"/>
          <w:sz w:val="32"/>
          <w:szCs w:val="32"/>
        </w:rPr>
        <w:t>级响应行动</w:t>
      </w:r>
      <w:bookmarkEnd w:id="115"/>
      <w:bookmarkEnd w:id="116"/>
    </w:p>
    <w:p w14:paraId="455D8DB1">
      <w:pPr>
        <w:adjustRightInd w:val="0"/>
        <w:snapToGrid w:val="0"/>
        <w:spacing w:line="550" w:lineRule="exact"/>
        <w:ind w:firstLine="640" w:firstLineChars="200"/>
        <w:rPr>
          <w:rFonts w:ascii="Times New Roman" w:hAnsi="Times New Roman" w:eastAsia="仿宋_GB2312"/>
          <w:sz w:val="32"/>
          <w:szCs w:val="32"/>
        </w:rPr>
      </w:pPr>
      <w:bookmarkStart w:id="117" w:name="_Toc4913"/>
      <w:bookmarkStart w:id="118" w:name="_Toc36652012"/>
      <w:r>
        <w:rPr>
          <w:rFonts w:ascii="Times New Roman" w:hAnsi="Times New Roman" w:eastAsia="仿宋_GB2312"/>
          <w:sz w:val="32"/>
          <w:szCs w:val="32"/>
        </w:rPr>
        <w:t>（1）由区防指指挥决定启动</w:t>
      </w:r>
      <w:r>
        <w:rPr>
          <w:rFonts w:hint="eastAsia" w:ascii="宋体" w:hAnsi="宋体" w:eastAsia="宋体" w:cs="宋体"/>
          <w:sz w:val="32"/>
          <w:szCs w:val="32"/>
        </w:rPr>
        <w:t>Ⅱ</w:t>
      </w:r>
      <w:r>
        <w:rPr>
          <w:rFonts w:ascii="Times New Roman" w:hAnsi="Times New Roman" w:eastAsia="仿宋_GB2312"/>
          <w:sz w:val="32"/>
          <w:szCs w:val="32"/>
        </w:rPr>
        <w:t xml:space="preserve">级应急响应。 </w:t>
      </w:r>
    </w:p>
    <w:p w14:paraId="46A16B5D">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（2）区防指指挥或委托副指挥主持会商，成员单位参加，分析研判汛情、旱情发展态势，部署防汛抗旱工作，明确工作目标、重点和措施，并将情况报区管委会和市防指。视情联系有关街道防指进行动员部署。 </w:t>
      </w:r>
    </w:p>
    <w:p w14:paraId="1A0FC664">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3）区防指副指挥带班，区防办实行24小时防汛值班，有关成员单位负责人或其指派人员到区防办进行联合值守。密切监视汛情、旱情、灾情变化，做好抢险物资队伍准备，视情向事发地派工作组、专家组，指导防汛工作。 </w:t>
      </w:r>
    </w:p>
    <w:p w14:paraId="13D9E269">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（4）区防指成员单位按照职能分工做好相关工作，按要求向区防指报告工作动态。</w:t>
      </w:r>
    </w:p>
    <w:p w14:paraId="26CFD81C">
      <w:pPr>
        <w:adjustRightInd w:val="0"/>
        <w:snapToGrid w:val="0"/>
        <w:spacing w:line="560" w:lineRule="exact"/>
        <w:ind w:firstLine="616" w:firstLineChars="200"/>
        <w:rPr>
          <w:rFonts w:ascii="Times New Roman" w:hAnsi="Times New Roman" w:eastAsia="仿宋_GB2312"/>
          <w:spacing w:val="-6"/>
          <w:sz w:val="32"/>
          <w:szCs w:val="32"/>
        </w:rPr>
      </w:pPr>
      <w:r>
        <w:rPr>
          <w:rFonts w:ascii="Times New Roman" w:hAnsi="Times New Roman" w:eastAsia="仿宋_GB2312"/>
          <w:spacing w:val="-6"/>
          <w:sz w:val="32"/>
          <w:szCs w:val="32"/>
        </w:rPr>
        <w:t>（5）</w:t>
      </w:r>
      <w:r>
        <w:rPr>
          <w:rFonts w:ascii="Times New Roman" w:hAnsi="Times New Roman" w:eastAsia="仿宋_GB2312"/>
          <w:sz w:val="32"/>
          <w:szCs w:val="32"/>
        </w:rPr>
        <w:t>区防指按要求向市防指报告事情进展及工作动态，突发灾情、险情及时报告。视地区汛情、旱情、灾情、险情发展，可依法宣布受影响地区进入紧急防汛期或紧急抗旱期</w:t>
      </w:r>
      <w:r>
        <w:rPr>
          <w:rFonts w:ascii="Times New Roman" w:hAnsi="Times New Roman" w:eastAsia="仿宋_GB2312"/>
          <w:spacing w:val="-6"/>
          <w:sz w:val="32"/>
          <w:szCs w:val="32"/>
        </w:rPr>
        <w:t>。</w:t>
      </w:r>
    </w:p>
    <w:p w14:paraId="12E04669">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4.3.4  </w:t>
      </w:r>
      <w:r>
        <w:rPr>
          <w:rFonts w:hint="eastAsia" w:ascii="宋体" w:hAnsi="宋体" w:eastAsia="宋体" w:cs="宋体"/>
          <w:sz w:val="32"/>
          <w:szCs w:val="32"/>
        </w:rPr>
        <w:t>Ⅰ</w:t>
      </w:r>
      <w:r>
        <w:rPr>
          <w:rFonts w:ascii="Times New Roman" w:hAnsi="Times New Roman" w:eastAsia="仿宋_GB2312"/>
          <w:sz w:val="32"/>
          <w:szCs w:val="32"/>
        </w:rPr>
        <w:t>级响应行动</w:t>
      </w:r>
      <w:bookmarkEnd w:id="117"/>
      <w:bookmarkEnd w:id="118"/>
    </w:p>
    <w:p w14:paraId="0EA47585">
      <w:pPr>
        <w:adjustRightInd w:val="0"/>
        <w:snapToGrid w:val="0"/>
        <w:spacing w:line="550" w:lineRule="exact"/>
        <w:ind w:firstLine="640" w:firstLineChars="200"/>
        <w:rPr>
          <w:rFonts w:ascii="Times New Roman" w:hAnsi="Times New Roman" w:eastAsia="仿宋_GB2312"/>
          <w:sz w:val="32"/>
          <w:szCs w:val="32"/>
        </w:rPr>
      </w:pPr>
      <w:bookmarkStart w:id="119" w:name="_Toc42178000"/>
      <w:bookmarkStart w:id="120" w:name="_Toc36652013"/>
      <w:r>
        <w:rPr>
          <w:rFonts w:ascii="Times New Roman" w:hAnsi="Times New Roman" w:eastAsia="仿宋_GB2312"/>
          <w:sz w:val="32"/>
          <w:szCs w:val="32"/>
        </w:rPr>
        <w:t xml:space="preserve">（1）由区防指指挥提出，经区管委会同意后，启动I级应急响应。 </w:t>
      </w:r>
    </w:p>
    <w:p w14:paraId="159D7468">
      <w:pPr>
        <w:adjustRightInd w:val="0"/>
        <w:snapToGrid w:val="0"/>
        <w:spacing w:line="550" w:lineRule="exact"/>
        <w:ind w:firstLine="648" w:firstLineChars="200"/>
        <w:rPr>
          <w:rFonts w:ascii="Times New Roman" w:hAnsi="Times New Roman" w:eastAsia="仿宋_GB2312"/>
          <w:spacing w:val="2"/>
          <w:sz w:val="32"/>
          <w:szCs w:val="32"/>
        </w:rPr>
      </w:pPr>
      <w:r>
        <w:rPr>
          <w:rFonts w:ascii="Times New Roman" w:hAnsi="Times New Roman" w:eastAsia="仿宋_GB2312"/>
          <w:spacing w:val="2"/>
          <w:sz w:val="32"/>
          <w:szCs w:val="32"/>
        </w:rPr>
        <w:t xml:space="preserve">（2）区防指指挥主持会商，成员单位参加，分析研判汛情、旱情发展态势，提出工作目标，重点对策措施，部署防汛抗旱和抢险救灾工作，并将情况报区管委会和市防指。组织召开防汛抗旱会议，进行紧急动员部署。区管委会办公室发出紧急通知，要求有关街道全力做好防汛抗旱工作。报经区党工委、管委会主要领导同意，宣布进入紧急防汛期。 </w:t>
      </w:r>
    </w:p>
    <w:p w14:paraId="763AF600">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3）区防指指挥坐镇指挥，副指挥带班，区防办实行24小时防汛抗旱值班，有关成员单位负责人到区防办进行联合值守。密切监视汛情、旱情、灾情变化，做好抢险物资队伍准备，向事发地派工作组、专家组指导工作。 </w:t>
      </w:r>
    </w:p>
    <w:p w14:paraId="60DA00DF">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（4）区防指成员单位按照职能分工做好相关工作，按要求向区防指报告工作动态。 </w:t>
      </w:r>
    </w:p>
    <w:p w14:paraId="6E7463BD">
      <w:pPr>
        <w:adjustRightInd w:val="0"/>
        <w:snapToGrid w:val="0"/>
        <w:spacing w:line="550" w:lineRule="exact"/>
        <w:ind w:firstLine="640" w:firstLineChars="200"/>
        <w:rPr>
          <w:rFonts w:ascii="Times New Roman" w:hAnsi="Times New Roman" w:eastAsia="黑体"/>
          <w:sz w:val="32"/>
          <w:szCs w:val="32"/>
        </w:rPr>
      </w:pPr>
      <w:r>
        <w:rPr>
          <w:rFonts w:ascii="Times New Roman" w:hAnsi="Times New Roman" w:eastAsia="仿宋_GB2312"/>
          <w:sz w:val="32"/>
          <w:szCs w:val="32"/>
        </w:rPr>
        <w:t>（5）区防指按要求向市防指报告事情进展及工作动态，突发灾情、险情及时报告。</w:t>
      </w:r>
    </w:p>
    <w:p w14:paraId="4355FD33">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121" w:name="_Toc15849"/>
      <w:r>
        <w:rPr>
          <w:rFonts w:ascii="Times New Roman" w:hAnsi="Times New Roman" w:eastAsia="楷体_GB2312"/>
          <w:sz w:val="32"/>
          <w:szCs w:val="32"/>
        </w:rPr>
        <w:t>4.4  应急响应措施</w:t>
      </w:r>
      <w:bookmarkEnd w:id="119"/>
      <w:bookmarkEnd w:id="120"/>
      <w:bookmarkEnd w:id="121"/>
      <w:r>
        <w:rPr>
          <w:rFonts w:ascii="Times New Roman" w:hAnsi="Times New Roman" w:eastAsia="楷体_GB2312"/>
          <w:sz w:val="32"/>
          <w:szCs w:val="32"/>
        </w:rPr>
        <w:t xml:space="preserve"> </w:t>
      </w:r>
    </w:p>
    <w:p w14:paraId="6B973973">
      <w:pPr>
        <w:adjustRightInd w:val="0"/>
        <w:snapToGrid w:val="0"/>
        <w:spacing w:line="550" w:lineRule="exact"/>
        <w:ind w:firstLine="640" w:firstLineChars="200"/>
        <w:rPr>
          <w:rFonts w:ascii="Times New Roman" w:hAnsi="Times New Roman" w:eastAsia="仿宋_GB2312"/>
          <w:sz w:val="32"/>
          <w:szCs w:val="32"/>
        </w:rPr>
      </w:pPr>
      <w:bookmarkStart w:id="122" w:name="_Toc19951"/>
      <w:bookmarkStart w:id="123" w:name="_Toc36652014"/>
      <w:r>
        <w:rPr>
          <w:rFonts w:ascii="Times New Roman" w:hAnsi="Times New Roman" w:eastAsia="仿宋_GB2312"/>
          <w:sz w:val="32"/>
          <w:szCs w:val="32"/>
        </w:rPr>
        <w:t>4.4.1  新沭河洪水</w:t>
      </w:r>
      <w:bookmarkEnd w:id="122"/>
      <w:bookmarkEnd w:id="123"/>
    </w:p>
    <w:p w14:paraId="4A0B4000">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（1）市防指针对新沭河</w:t>
      </w:r>
      <w:r>
        <w:rPr>
          <w:rFonts w:hint="eastAsia" w:ascii="宋体" w:hAnsi="宋体" w:eastAsia="宋体" w:cs="宋体"/>
          <w:sz w:val="32"/>
          <w:szCs w:val="32"/>
        </w:rPr>
        <w:t>Ⅳ</w:t>
      </w:r>
      <w:r>
        <w:rPr>
          <w:rFonts w:ascii="Times New Roman" w:hAnsi="Times New Roman" w:eastAsia="仿宋_GB2312"/>
          <w:sz w:val="32"/>
          <w:szCs w:val="32"/>
        </w:rPr>
        <w:t>级响应行动</w:t>
      </w:r>
    </w:p>
    <w:p w14:paraId="0041A711">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1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①</w:t>
      </w:r>
      <w:r>
        <w:rPr>
          <w:rFonts w:ascii="Times New Roman" w:hAnsi="Times New Roman" w:eastAsia="仿宋_GB2312"/>
          <w:sz w:val="32"/>
          <w:szCs w:val="32"/>
        </w:rPr>
        <w:fldChar w:fldCharType="end"/>
      </w:r>
      <w:r>
        <w:rPr>
          <w:rFonts w:ascii="Times New Roman" w:hAnsi="Times New Roman" w:eastAsia="仿宋_GB2312"/>
          <w:sz w:val="32"/>
          <w:szCs w:val="32"/>
        </w:rPr>
        <w:t>由区防指副指挥启动新沭河开发区段</w:t>
      </w:r>
      <w:r>
        <w:rPr>
          <w:rFonts w:hint="eastAsia" w:ascii="宋体" w:hAnsi="宋体" w:eastAsia="宋体" w:cs="宋体"/>
          <w:sz w:val="32"/>
          <w:szCs w:val="32"/>
        </w:rPr>
        <w:t>Ⅳ</w:t>
      </w:r>
      <w:r>
        <w:rPr>
          <w:rFonts w:ascii="Times New Roman" w:hAnsi="Times New Roman" w:eastAsia="仿宋_GB2312"/>
          <w:sz w:val="32"/>
          <w:szCs w:val="32"/>
        </w:rPr>
        <w:t>级应急响应。</w:t>
      </w:r>
    </w:p>
    <w:p w14:paraId="3780ECA2">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2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②</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区防指副指挥或委托区防办负责人主持会商，作出相应工作安排。猴嘴街道负责巡查。 </w:t>
      </w:r>
    </w:p>
    <w:p w14:paraId="44771997">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3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③</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区防办实行24h防汛值班，密切监视汛情变化。 </w:t>
      </w:r>
    </w:p>
    <w:p w14:paraId="19617BC6">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4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④</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区防指成员单位按照职能分工做好相关工作，按要求向区防办报告工作动态。 </w:t>
      </w:r>
    </w:p>
    <w:p w14:paraId="4FE95758">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5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⑤</w:t>
      </w:r>
      <w:r>
        <w:rPr>
          <w:rFonts w:ascii="Times New Roman" w:hAnsi="Times New Roman" w:eastAsia="仿宋_GB2312"/>
          <w:sz w:val="32"/>
          <w:szCs w:val="32"/>
        </w:rPr>
        <w:fldChar w:fldCharType="end"/>
      </w:r>
      <w:r>
        <w:rPr>
          <w:rFonts w:ascii="Times New Roman" w:hAnsi="Times New Roman" w:eastAsia="仿宋_GB2312"/>
          <w:sz w:val="32"/>
          <w:szCs w:val="32"/>
        </w:rPr>
        <w:t>区防办按要求向市防办报告工作动态，突发灾情、险情及时报告。</w:t>
      </w:r>
    </w:p>
    <w:p w14:paraId="473D2694">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（2）市防指针对新沭河</w:t>
      </w:r>
      <w:r>
        <w:rPr>
          <w:rFonts w:hint="eastAsia" w:ascii="宋体" w:hAnsi="宋体" w:eastAsia="宋体" w:cs="宋体"/>
          <w:sz w:val="32"/>
          <w:szCs w:val="32"/>
        </w:rPr>
        <w:t>Ⅲ</w:t>
      </w:r>
      <w:r>
        <w:rPr>
          <w:rFonts w:ascii="Times New Roman" w:hAnsi="Times New Roman" w:eastAsia="仿宋_GB2312"/>
          <w:sz w:val="32"/>
          <w:szCs w:val="32"/>
        </w:rPr>
        <w:t>级响应行动</w:t>
      </w:r>
    </w:p>
    <w:p w14:paraId="2BDD604F">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1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①</w:t>
      </w:r>
      <w:r>
        <w:rPr>
          <w:rFonts w:ascii="Times New Roman" w:hAnsi="Times New Roman" w:eastAsia="仿宋_GB2312"/>
          <w:sz w:val="32"/>
          <w:szCs w:val="32"/>
        </w:rPr>
        <w:fldChar w:fldCharType="end"/>
      </w:r>
      <w:r>
        <w:rPr>
          <w:rFonts w:ascii="Times New Roman" w:hAnsi="Times New Roman" w:eastAsia="仿宋_GB2312"/>
          <w:sz w:val="32"/>
          <w:szCs w:val="32"/>
        </w:rPr>
        <w:t>由区防指副指挥启动新沭河开发区段</w:t>
      </w:r>
      <w:r>
        <w:rPr>
          <w:rFonts w:hint="eastAsia" w:ascii="宋体" w:hAnsi="宋体" w:eastAsia="宋体" w:cs="宋体"/>
          <w:sz w:val="32"/>
          <w:szCs w:val="32"/>
        </w:rPr>
        <w:t>Ⅲ</w:t>
      </w:r>
      <w:r>
        <w:rPr>
          <w:rFonts w:ascii="Times New Roman" w:hAnsi="Times New Roman" w:eastAsia="仿宋_GB2312"/>
          <w:sz w:val="32"/>
          <w:szCs w:val="32"/>
        </w:rPr>
        <w:t>级应急响应。</w:t>
      </w:r>
    </w:p>
    <w:p w14:paraId="46D4BC49">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2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②</w:t>
      </w:r>
      <w:r>
        <w:rPr>
          <w:rFonts w:ascii="Times New Roman" w:hAnsi="Times New Roman" w:eastAsia="仿宋_GB2312"/>
          <w:sz w:val="32"/>
          <w:szCs w:val="32"/>
        </w:rPr>
        <w:fldChar w:fldCharType="end"/>
      </w:r>
      <w:r>
        <w:rPr>
          <w:rFonts w:ascii="Times New Roman" w:hAnsi="Times New Roman" w:eastAsia="仿宋_GB2312"/>
          <w:sz w:val="32"/>
          <w:szCs w:val="32"/>
        </w:rPr>
        <w:t xml:space="preserve">由区防指副指挥主持会商，作出相应工作安排。视情连线有关区防指成员单位进行动员部署。猴嘴、朝阳、中云街道负责巡查，区社会事业局、区应急管理局、区住房和城乡建设局负责现场指导。  </w:t>
      </w:r>
    </w:p>
    <w:p w14:paraId="00CF5476">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3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③</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区防指副指挥带班，区防办实行24h防汛值班。密切监视汛情、灾情变化，做好抢险物资队伍准备，视情向事发地派出工作组、专家组，指导防洪工作。 </w:t>
      </w:r>
    </w:p>
    <w:p w14:paraId="4F3E3A6F">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4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④</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区防办加强汛情监视，指导协调地方做好防洪工作。 </w:t>
      </w:r>
    </w:p>
    <w:p w14:paraId="27088EDB">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5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⑤</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区防指成员单位按照职能分工做好相关工作，按要求向区防办报告工作动态。 </w:t>
      </w:r>
    </w:p>
    <w:p w14:paraId="12DD83FB">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6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⑥</w:t>
      </w:r>
      <w:r>
        <w:rPr>
          <w:rFonts w:ascii="Times New Roman" w:hAnsi="Times New Roman" w:eastAsia="仿宋_GB2312"/>
          <w:sz w:val="32"/>
          <w:szCs w:val="32"/>
        </w:rPr>
        <w:fldChar w:fldCharType="end"/>
      </w:r>
      <w:r>
        <w:rPr>
          <w:rFonts w:ascii="Times New Roman" w:hAnsi="Times New Roman" w:eastAsia="仿宋_GB2312"/>
          <w:sz w:val="32"/>
          <w:szCs w:val="32"/>
        </w:rPr>
        <w:t>区防办按要求向市防办报告事情进展及工作动态，突发灾情、险情随时报告。</w:t>
      </w:r>
    </w:p>
    <w:p w14:paraId="3AFA6266">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（3）市防指针对新沭河</w:t>
      </w:r>
      <w:r>
        <w:rPr>
          <w:rFonts w:hint="eastAsia" w:ascii="宋体" w:hAnsi="宋体" w:eastAsia="宋体" w:cs="宋体"/>
          <w:spacing w:val="-8"/>
          <w:sz w:val="32"/>
          <w:szCs w:val="32"/>
        </w:rPr>
        <w:t>Ⅱ</w:t>
      </w:r>
      <w:r>
        <w:rPr>
          <w:rFonts w:ascii="Times New Roman" w:hAnsi="Times New Roman" w:eastAsia="仿宋_GB2312"/>
          <w:sz w:val="32"/>
          <w:szCs w:val="32"/>
        </w:rPr>
        <w:t>级响应行动</w:t>
      </w:r>
    </w:p>
    <w:p w14:paraId="0A528BD3">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1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①</w:t>
      </w:r>
      <w:r>
        <w:rPr>
          <w:rFonts w:ascii="Times New Roman" w:hAnsi="Times New Roman" w:eastAsia="仿宋_GB2312"/>
          <w:sz w:val="32"/>
          <w:szCs w:val="32"/>
        </w:rPr>
        <w:fldChar w:fldCharType="end"/>
      </w:r>
      <w:r>
        <w:rPr>
          <w:rFonts w:ascii="Times New Roman" w:hAnsi="Times New Roman" w:eastAsia="仿宋_GB2312"/>
          <w:sz w:val="32"/>
          <w:szCs w:val="32"/>
        </w:rPr>
        <w:t>由区防指指挥启动新沭河开发区段</w:t>
      </w:r>
      <w:r>
        <w:rPr>
          <w:rFonts w:hint="eastAsia" w:ascii="宋体" w:hAnsi="宋体" w:eastAsia="宋体" w:cs="宋体"/>
          <w:spacing w:val="-8"/>
          <w:sz w:val="32"/>
          <w:szCs w:val="32"/>
        </w:rPr>
        <w:t>Ⅱ</w:t>
      </w:r>
      <w:r>
        <w:rPr>
          <w:rFonts w:ascii="Times New Roman" w:hAnsi="Times New Roman" w:eastAsia="仿宋_GB2312"/>
          <w:sz w:val="32"/>
          <w:szCs w:val="32"/>
        </w:rPr>
        <w:t>级应急响应。</w:t>
      </w:r>
    </w:p>
    <w:p w14:paraId="24E464B2">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2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②</w:t>
      </w:r>
      <w:r>
        <w:rPr>
          <w:rFonts w:ascii="Times New Roman" w:hAnsi="Times New Roman" w:eastAsia="仿宋_GB2312"/>
          <w:sz w:val="32"/>
          <w:szCs w:val="32"/>
        </w:rPr>
        <w:fldChar w:fldCharType="end"/>
      </w:r>
      <w:r>
        <w:rPr>
          <w:rFonts w:ascii="Times New Roman" w:hAnsi="Times New Roman" w:eastAsia="仿宋_GB2312"/>
          <w:sz w:val="32"/>
          <w:szCs w:val="32"/>
        </w:rPr>
        <w:t>区防指指挥或委托副指挥主持会商，成员单位参加，分析研判汛情发展态势，部署防洪工作，明确工作目标、重点和措施，并将情况报区管委会。视情连线街道进行动员部署。猴嘴、朝阳、中云街道负责巡查，区社会事业局、区应急管理局、区住房和城乡建设局负责现场指导。</w:t>
      </w:r>
    </w:p>
    <w:p w14:paraId="100ED483">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3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③</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区防指指挥带班，区防办实行24h防洪值班，有关成员单位负责人或其指派人员到区防办进行联合值守。密切监视汛情、灾情变化，做好抢险物资队伍准备，视情派出工作组、专家组，指导防洪工作。 </w:t>
      </w:r>
    </w:p>
    <w:p w14:paraId="3EC49285">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4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④</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区防办加强对汛情、险情监视，及时报市防指，派出工作组到事发地指导协助防汛抗旱工作。 </w:t>
      </w:r>
    </w:p>
    <w:p w14:paraId="418BEB36">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5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⑤</w:t>
      </w:r>
      <w:r>
        <w:rPr>
          <w:rFonts w:ascii="Times New Roman" w:hAnsi="Times New Roman" w:eastAsia="仿宋_GB2312"/>
          <w:sz w:val="32"/>
          <w:szCs w:val="32"/>
        </w:rPr>
        <w:fldChar w:fldCharType="end"/>
      </w:r>
      <w:r>
        <w:rPr>
          <w:rFonts w:ascii="Times New Roman" w:hAnsi="Times New Roman" w:eastAsia="仿宋_GB2312"/>
          <w:sz w:val="32"/>
          <w:szCs w:val="32"/>
        </w:rPr>
        <w:t>区防指成员单位按照职能分工做好相关工作，按要求向区防指报告工作动态。</w:t>
      </w:r>
    </w:p>
    <w:p w14:paraId="709AFA00">
      <w:pPr>
        <w:adjustRightInd w:val="0"/>
        <w:snapToGrid w:val="0"/>
        <w:spacing w:line="558" w:lineRule="exact"/>
        <w:ind w:firstLine="640" w:firstLineChars="200"/>
        <w:rPr>
          <w:rFonts w:ascii="Times New Roman" w:hAnsi="Times New Roman" w:eastAsia="宋体"/>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6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⑥</w:t>
      </w:r>
      <w:r>
        <w:rPr>
          <w:rFonts w:ascii="Times New Roman" w:hAnsi="Times New Roman" w:eastAsia="仿宋_GB2312"/>
          <w:sz w:val="32"/>
          <w:szCs w:val="32"/>
        </w:rPr>
        <w:fldChar w:fldCharType="end"/>
      </w:r>
      <w:r>
        <w:rPr>
          <w:rFonts w:ascii="Times New Roman" w:hAnsi="Times New Roman" w:eastAsia="仿宋_GB2312"/>
          <w:sz w:val="32"/>
          <w:szCs w:val="32"/>
        </w:rPr>
        <w:t>区防指按要求向市防指报告事情进展及工作动态，可依法宣布受影响地区进入紧急防洪期。</w:t>
      </w:r>
    </w:p>
    <w:p w14:paraId="0B5E1D8D">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（4）市防指针对新沭河</w:t>
      </w:r>
      <w:r>
        <w:rPr>
          <w:rFonts w:hint="eastAsia" w:ascii="宋体" w:hAnsi="宋体" w:eastAsia="宋体" w:cs="宋体"/>
          <w:sz w:val="32"/>
          <w:szCs w:val="32"/>
        </w:rPr>
        <w:t>Ⅰ</w:t>
      </w:r>
      <w:r>
        <w:rPr>
          <w:rFonts w:ascii="Times New Roman" w:hAnsi="Times New Roman" w:eastAsia="仿宋_GB2312"/>
          <w:sz w:val="32"/>
          <w:szCs w:val="32"/>
        </w:rPr>
        <w:t>级响应行动</w:t>
      </w:r>
    </w:p>
    <w:p w14:paraId="0FAFB61D">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1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①</w:t>
      </w:r>
      <w:r>
        <w:rPr>
          <w:rFonts w:ascii="Times New Roman" w:hAnsi="Times New Roman" w:eastAsia="仿宋_GB2312"/>
          <w:sz w:val="32"/>
          <w:szCs w:val="32"/>
        </w:rPr>
        <w:fldChar w:fldCharType="end"/>
      </w:r>
      <w:r>
        <w:rPr>
          <w:rFonts w:ascii="Times New Roman" w:hAnsi="Times New Roman" w:eastAsia="仿宋_GB2312"/>
          <w:sz w:val="32"/>
          <w:szCs w:val="32"/>
        </w:rPr>
        <w:t xml:space="preserve">由区防指指挥提出，经区管委会同意后，启动I级应急响应。 </w:t>
      </w:r>
    </w:p>
    <w:p w14:paraId="5D6AD929">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2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②</w:t>
      </w:r>
      <w:r>
        <w:rPr>
          <w:rFonts w:ascii="Times New Roman" w:hAnsi="Times New Roman" w:eastAsia="仿宋_GB2312"/>
          <w:sz w:val="32"/>
          <w:szCs w:val="32"/>
        </w:rPr>
        <w:fldChar w:fldCharType="end"/>
      </w:r>
      <w:r>
        <w:rPr>
          <w:rFonts w:ascii="Times New Roman" w:hAnsi="Times New Roman" w:eastAsia="仿宋_GB2312"/>
          <w:spacing w:val="2"/>
          <w:sz w:val="32"/>
          <w:szCs w:val="32"/>
        </w:rPr>
        <w:t>区防指指挥主持会商</w:t>
      </w:r>
      <w:r>
        <w:rPr>
          <w:rFonts w:ascii="Times New Roman" w:hAnsi="Times New Roman" w:eastAsia="仿宋_GB2312"/>
          <w:sz w:val="32"/>
          <w:szCs w:val="32"/>
        </w:rPr>
        <w:t xml:space="preserve">，成员单位参加，分析研判汛情发展态势，提出工作目标，重点对策措施，部署防洪抢险救灾工作，并将情况报区管委会。报经区管委会主要领导同意，宣布全区进入紧急防洪期。全区干群全力以赴，区主要领导坐阵指挥。 </w:t>
      </w:r>
    </w:p>
    <w:p w14:paraId="52FF5ED8">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3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③</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区防指指挥坐镇指挥，副指挥带班，区防办实行24h防汛抗旱值班，有关成员单位负责人到区防办进行联合值守。 </w:t>
      </w:r>
    </w:p>
    <w:p w14:paraId="7D839263">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4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④</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区防指成员单位按照职能分工做好相关工作，按要求向区防指报告工作动态。 </w:t>
      </w:r>
    </w:p>
    <w:p w14:paraId="2114B6A4">
      <w:pPr>
        <w:pStyle w:val="2"/>
        <w:adjustRightInd w:val="0"/>
        <w:snapToGrid w:val="0"/>
        <w:ind w:left="0" w:firstLine="640"/>
        <w:rPr>
          <w:rFonts w:eastAsia="仿宋_GB2312" w:cs="Times New Roman"/>
          <w:sz w:val="32"/>
          <w:szCs w:val="32"/>
        </w:rPr>
      </w:pPr>
      <w:r>
        <w:rPr>
          <w:rFonts w:eastAsia="仿宋_GB2312" w:cs="Times New Roman"/>
          <w:sz w:val="32"/>
          <w:szCs w:val="32"/>
        </w:rPr>
        <w:fldChar w:fldCharType="begin"/>
      </w:r>
      <w:r>
        <w:rPr>
          <w:rFonts w:eastAsia="仿宋_GB2312" w:cs="Times New Roman"/>
          <w:sz w:val="32"/>
          <w:szCs w:val="32"/>
        </w:rPr>
        <w:instrText xml:space="preserve"> = 5 \* GB3 \* MERGEFORMAT </w:instrText>
      </w:r>
      <w:r>
        <w:rPr>
          <w:rFonts w:eastAsia="仿宋_GB2312" w:cs="Times New Roman"/>
          <w:sz w:val="32"/>
          <w:szCs w:val="32"/>
        </w:rPr>
        <w:fldChar w:fldCharType="separate"/>
      </w:r>
      <w:r>
        <w:rPr>
          <w:rFonts w:hint="eastAsia" w:ascii="宋体" w:hAnsi="宋体"/>
          <w:sz w:val="32"/>
          <w:szCs w:val="32"/>
        </w:rPr>
        <w:t>⑤</w:t>
      </w:r>
      <w:r>
        <w:rPr>
          <w:rFonts w:eastAsia="仿宋_GB2312" w:cs="Times New Roman"/>
          <w:sz w:val="32"/>
          <w:szCs w:val="32"/>
        </w:rPr>
        <w:fldChar w:fldCharType="end"/>
      </w:r>
      <w:r>
        <w:rPr>
          <w:rFonts w:eastAsia="仿宋_GB2312" w:cs="Times New Roman"/>
          <w:sz w:val="32"/>
          <w:szCs w:val="32"/>
        </w:rPr>
        <w:t>区防指按要求向市防指报告事情进展及工作动态，突发灾情、险情及时报告。依法宣布本地进入紧急防洪期。</w:t>
      </w:r>
    </w:p>
    <w:p w14:paraId="31490A13">
      <w:pPr>
        <w:adjustRightInd w:val="0"/>
        <w:snapToGrid w:val="0"/>
        <w:spacing w:line="550" w:lineRule="exact"/>
        <w:ind w:firstLine="640" w:firstLineChars="200"/>
        <w:rPr>
          <w:rFonts w:ascii="Times New Roman" w:hAnsi="Times New Roman" w:eastAsia="仿宋_GB2312"/>
          <w:sz w:val="32"/>
          <w:szCs w:val="32"/>
        </w:rPr>
      </w:pPr>
      <w:bookmarkStart w:id="124" w:name="_Toc19831"/>
      <w:bookmarkStart w:id="125" w:name="_Toc36652015"/>
      <w:r>
        <w:rPr>
          <w:rFonts w:ascii="Times New Roman" w:hAnsi="Times New Roman" w:eastAsia="仿宋_GB2312"/>
          <w:sz w:val="32"/>
          <w:szCs w:val="32"/>
        </w:rPr>
        <w:t>4.4.2  雨涝灾害</w:t>
      </w:r>
      <w:bookmarkEnd w:id="124"/>
      <w:bookmarkEnd w:id="125"/>
    </w:p>
    <w:p w14:paraId="0942BC13">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（1）当出现雨涝灾害时，区住房和城乡建设局、区社会事业局等单位应科学调度水工程和移动排涝设备，开展自排和抽排，尽快排出涝水，恢复正常生产生活秩序。 </w:t>
      </w:r>
    </w:p>
    <w:p w14:paraId="63B99E5C">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（2）在河库防汛形势紧张时，要统筹流域、区域与城市防洪需求，正确处理排涝与防洪的关系，避免因排涝而增加防汛的压力。</w:t>
      </w:r>
    </w:p>
    <w:p w14:paraId="4AD2566A">
      <w:pPr>
        <w:adjustRightInd w:val="0"/>
        <w:snapToGrid w:val="0"/>
        <w:spacing w:line="550" w:lineRule="exact"/>
        <w:ind w:firstLine="640" w:firstLineChars="200"/>
        <w:rPr>
          <w:rFonts w:ascii="Times New Roman" w:hAnsi="Times New Roman" w:eastAsia="仿宋_GB2312"/>
          <w:sz w:val="32"/>
          <w:szCs w:val="32"/>
        </w:rPr>
      </w:pPr>
      <w:bookmarkStart w:id="126" w:name="_Toc36652016"/>
      <w:bookmarkStart w:id="127" w:name="_Toc28361"/>
      <w:r>
        <w:rPr>
          <w:rFonts w:ascii="Times New Roman" w:hAnsi="Times New Roman" w:eastAsia="仿宋_GB2312"/>
          <w:sz w:val="32"/>
          <w:szCs w:val="32"/>
        </w:rPr>
        <w:t>4.4.3  山洪灾害</w:t>
      </w:r>
      <w:bookmarkEnd w:id="126"/>
      <w:bookmarkEnd w:id="127"/>
    </w:p>
    <w:p w14:paraId="571D7936">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1）当发生山洪灾害时，区防指应组织区社会事业局、市自然资源和规划局开发区分局、区应急管理局、区住房和城乡建设局、市生态环境局开发区分局等有关单位的专业人员，及时赶赴现场，加强观测，采取应急措施，以减少损失。 </w:t>
      </w:r>
    </w:p>
    <w:p w14:paraId="05BD36D9">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（2）视山洪灾害易发区降雨量、山体变形滑动趋势，当地政府应及时组织人员本着就近、迅速、安全、有序的原则撤离。</w:t>
      </w:r>
    </w:p>
    <w:p w14:paraId="0906A0C7">
      <w:pPr>
        <w:adjustRightInd w:val="0"/>
        <w:snapToGrid w:val="0"/>
        <w:spacing w:line="550" w:lineRule="exact"/>
        <w:ind w:firstLine="640" w:firstLineChars="200"/>
        <w:rPr>
          <w:rFonts w:ascii="Times New Roman" w:hAnsi="Times New Roman" w:eastAsia="仿宋_GB2312"/>
          <w:sz w:val="32"/>
          <w:szCs w:val="32"/>
        </w:rPr>
      </w:pPr>
      <w:bookmarkStart w:id="128" w:name="_Toc36652018"/>
      <w:bookmarkStart w:id="129" w:name="_Toc16875"/>
      <w:r>
        <w:rPr>
          <w:rFonts w:ascii="Times New Roman" w:hAnsi="Times New Roman" w:eastAsia="仿宋_GB2312"/>
          <w:sz w:val="32"/>
          <w:szCs w:val="32"/>
        </w:rPr>
        <w:t>4.4.4  堤防决口、水闸垮塌、水库垮坝</w:t>
      </w:r>
      <w:bookmarkEnd w:id="128"/>
      <w:bookmarkEnd w:id="129"/>
    </w:p>
    <w:p w14:paraId="470E4AF9">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当水库、塘坝出现堤防决口、水闸垮塌、水库垮坝前期征兆时，工程管理责任人应加强巡查，各街道要迅速调集人力、物力全力组织抢险，尽可能控制险情，并及时向下游发出警报。河库堤防决口、水闸垮塌和水库垮坝等事件应立即报告区防指。</w:t>
      </w:r>
    </w:p>
    <w:p w14:paraId="5008E159">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（2）当水库、塘坝出现堤防决口、水闸垮塌、水库垮坝前期征兆时，各街道应迅速组织受影响群众转移，并视情况抢筑二道防线，控制洪水影响范围，尽可能减少灾害损失。</w:t>
      </w:r>
    </w:p>
    <w:p w14:paraId="258CCE67">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当水库、塘坝发生堤防决口、水闸垮塌、水库垮坝后，各街道应立即启动堵口、抢护应急预案，组织实施堵口。水利部门负责抢险技术支撑，并调度有关水利工程，为实施堵口创造条件；应急管理部门负责协调部队参与抢险，协调队伍、物资支援抢险。必要时，请求市防</w:t>
      </w:r>
      <w:bookmarkStart w:id="130" w:name="_Toc18654"/>
      <w:bookmarkStart w:id="131" w:name="_Toc36652019"/>
      <w:r>
        <w:rPr>
          <w:rFonts w:ascii="Times New Roman" w:hAnsi="Times New Roman" w:eastAsia="仿宋_GB2312"/>
          <w:sz w:val="32"/>
          <w:szCs w:val="32"/>
        </w:rPr>
        <w:t>指给予支援。</w:t>
      </w:r>
    </w:p>
    <w:p w14:paraId="378C528C">
      <w:pPr>
        <w:pStyle w:val="2"/>
        <w:adjustRightInd w:val="0"/>
        <w:snapToGrid w:val="0"/>
        <w:ind w:left="0" w:firstLine="640"/>
        <w:rPr>
          <w:rFonts w:eastAsia="仿宋_GB2312" w:cs="Times New Roman"/>
          <w:sz w:val="32"/>
          <w:szCs w:val="32"/>
        </w:rPr>
      </w:pPr>
      <w:r>
        <w:rPr>
          <w:rFonts w:eastAsia="仿宋_GB2312" w:cs="Times New Roman"/>
          <w:sz w:val="32"/>
          <w:szCs w:val="32"/>
        </w:rPr>
        <w:t>（4）朝阳水库、新县水库、胜利水库、黄泥塘水库和云门水库责任人职责：水库责任人应</w:t>
      </w:r>
      <w:r>
        <w:rPr>
          <w:rFonts w:eastAsia="仿宋_GB2312" w:cs="Times New Roman"/>
          <w:kern w:val="0"/>
          <w:sz w:val="32"/>
          <w:szCs w:val="32"/>
        </w:rPr>
        <w:t>掌握工程运行状况；协调解决水库除险加固和险工隐患整改事宜；密切关注水库雨情、水情和工情；带队开展汛前、汛中至少两次检查，遇暴雨、洪水、地震及发生工程异常等能及时发现并在第一时间上报区防指；水库发生重大汛情、险情、事故等突发事件或预报水库水位将超过设计洪水位时，应立即上报区防指并赶赴现场，指挥或配合上级开展应急处置，根据应急响应情况，及时做好人员转移避险。</w:t>
      </w:r>
    </w:p>
    <w:p w14:paraId="1F4AAE6A">
      <w:pPr>
        <w:pStyle w:val="2"/>
        <w:adjustRightInd w:val="0"/>
        <w:snapToGrid w:val="0"/>
        <w:ind w:left="0" w:firstLine="640"/>
        <w:rPr>
          <w:rFonts w:eastAsia="仿宋_GB2312" w:cs="Times New Roman"/>
          <w:sz w:val="32"/>
          <w:szCs w:val="32"/>
        </w:rPr>
      </w:pPr>
      <w:r>
        <w:rPr>
          <w:rFonts w:eastAsia="仿宋_GB2312" w:cs="Times New Roman"/>
          <w:sz w:val="32"/>
          <w:szCs w:val="32"/>
        </w:rPr>
        <w:t>4.4.5  干旱灾害</w:t>
      </w:r>
      <w:bookmarkEnd w:id="130"/>
      <w:bookmarkEnd w:id="131"/>
    </w:p>
    <w:p w14:paraId="2B567529">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区防指根据本地区实际情况，按轻度、中度、严重、特大4个干旱等级，制定相应的应急抗旱措施，并负责组织抗旱工作。</w:t>
      </w:r>
    </w:p>
    <w:p w14:paraId="5FECCE14">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（1）轻度干旱</w:t>
      </w:r>
    </w:p>
    <w:p w14:paraId="100F3D43">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掌握旱情变化情况，做好旱情监测、预报工作。</w:t>
      </w:r>
    </w:p>
    <w:p w14:paraId="46B49A9A">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②</w:t>
      </w:r>
      <w:r>
        <w:rPr>
          <w:rFonts w:ascii="Times New Roman" w:hAnsi="Times New Roman" w:eastAsia="仿宋_GB2312"/>
          <w:sz w:val="32"/>
          <w:szCs w:val="32"/>
        </w:rPr>
        <w:t>做好抗旱水源的管理调度工作。</w:t>
      </w:r>
    </w:p>
    <w:p w14:paraId="546D6838">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③</w:t>
      </w:r>
      <w:r>
        <w:rPr>
          <w:rFonts w:ascii="Times New Roman" w:hAnsi="Times New Roman" w:eastAsia="仿宋_GB2312"/>
          <w:sz w:val="32"/>
          <w:szCs w:val="32"/>
        </w:rPr>
        <w:t>及时分析了解社会各方面的用水需求。</w:t>
      </w:r>
    </w:p>
    <w:p w14:paraId="0DA5242E">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（2）中度干旱</w:t>
      </w:r>
    </w:p>
    <w:p w14:paraId="611100AE">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区建设、水利部门加强旱情监测，密切注视旱情的发展情况，定期分析预测旱情变化趋势，及时通报旱情信息和抗旱情况。</w:t>
      </w:r>
    </w:p>
    <w:p w14:paraId="1459B908">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②</w:t>
      </w:r>
      <w:r>
        <w:rPr>
          <w:rFonts w:ascii="Times New Roman" w:hAnsi="Times New Roman" w:eastAsia="仿宋_GB2312"/>
          <w:sz w:val="32"/>
          <w:szCs w:val="32"/>
        </w:rPr>
        <w:t>根据旱情发展趋势，适时对抗旱工作进行动员部署。</w:t>
      </w:r>
    </w:p>
    <w:p w14:paraId="47ABBF7E">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③</w:t>
      </w:r>
      <w:r>
        <w:rPr>
          <w:rFonts w:ascii="Times New Roman" w:hAnsi="Times New Roman" w:eastAsia="仿宋_GB2312"/>
          <w:sz w:val="32"/>
          <w:szCs w:val="32"/>
        </w:rPr>
        <w:t>及时上报、通报旱情信息和抗旱情况。</w:t>
      </w:r>
    </w:p>
    <w:p w14:paraId="01CE3E89">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④</w:t>
      </w:r>
      <w:r>
        <w:rPr>
          <w:rFonts w:ascii="Times New Roman" w:hAnsi="Times New Roman" w:eastAsia="仿宋_GB2312"/>
          <w:sz w:val="32"/>
          <w:szCs w:val="32"/>
        </w:rPr>
        <w:t>视水量供求变化，加强抗旱水源的管理和统一调度。</w:t>
      </w:r>
    </w:p>
    <w:p w14:paraId="1CEEA475">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⑤</w:t>
      </w:r>
      <w:r>
        <w:rPr>
          <w:rFonts w:ascii="Times New Roman" w:hAnsi="Times New Roman" w:eastAsia="仿宋_GB2312"/>
          <w:sz w:val="32"/>
          <w:szCs w:val="32"/>
        </w:rPr>
        <w:t>根据旱情发展趋势，及时会商，动员部署抗旱工作。</w:t>
      </w:r>
    </w:p>
    <w:p w14:paraId="2C3FC885">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（3）严重干旱</w:t>
      </w:r>
    </w:p>
    <w:p w14:paraId="7B4FE29A">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区建设、水利部门进一步加强旱情监测和分析预报工作，及时掌握旱情灾情及其发展变化趋势，及时通报旱情信息和抗旱情况。</w:t>
      </w:r>
    </w:p>
    <w:p w14:paraId="69B84F5A">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②</w:t>
      </w:r>
      <w:r>
        <w:rPr>
          <w:rFonts w:ascii="Times New Roman" w:hAnsi="Times New Roman" w:eastAsia="仿宋_GB2312"/>
          <w:sz w:val="32"/>
          <w:szCs w:val="32"/>
        </w:rPr>
        <w:t>及时组织抗旱会商，研究部署抗旱工作。</w:t>
      </w:r>
    </w:p>
    <w:p w14:paraId="499DE43B">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③</w:t>
      </w:r>
      <w:r>
        <w:rPr>
          <w:rFonts w:ascii="Times New Roman" w:hAnsi="Times New Roman" w:eastAsia="仿宋_GB2312"/>
          <w:sz w:val="32"/>
          <w:szCs w:val="32"/>
        </w:rPr>
        <w:t>督促区防指成员单位落实抗旱职责，做好抗旱水源的统一管理和调度，落实应急抗旱资金和抗旱物资。</w:t>
      </w:r>
    </w:p>
    <w:p w14:paraId="0B4A6808">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④</w:t>
      </w:r>
      <w:r>
        <w:rPr>
          <w:rFonts w:ascii="Times New Roman" w:hAnsi="Times New Roman" w:eastAsia="仿宋_GB2312"/>
          <w:sz w:val="32"/>
          <w:szCs w:val="32"/>
        </w:rPr>
        <w:t>做好抗旱工作的宣传。</w:t>
      </w:r>
    </w:p>
    <w:p w14:paraId="3FF688E9">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（4）特大干旱</w:t>
      </w:r>
    </w:p>
    <w:p w14:paraId="497A5EBB">
      <w:pPr>
        <w:adjustRightInd w:val="0"/>
        <w:snapToGrid w:val="0"/>
        <w:spacing w:line="558"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强化地方行政首长抗旱目标责任制，确保城乡居民生活和电厂、制药等重点企业用水安全，维护灾区社会稳定。</w:t>
      </w:r>
    </w:p>
    <w:p w14:paraId="3C2AF637">
      <w:pPr>
        <w:adjustRightInd w:val="0"/>
        <w:snapToGrid w:val="0"/>
        <w:spacing w:line="558"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②</w:t>
      </w:r>
      <w:r>
        <w:rPr>
          <w:rFonts w:ascii="Times New Roman" w:hAnsi="Times New Roman" w:eastAsia="仿宋_GB2312"/>
          <w:sz w:val="32"/>
          <w:szCs w:val="32"/>
        </w:rPr>
        <w:t>地方政府强化抗旱工作的统一指挥和组织协调，加强会商，强化抗旱水源的科学调度和用水管理，各有关部门按照指挥机构的统一指挥部署，协调联动，全面做好抗旱工作。</w:t>
      </w:r>
    </w:p>
    <w:p w14:paraId="6D817B4F">
      <w:pPr>
        <w:adjustRightInd w:val="0"/>
        <w:snapToGrid w:val="0"/>
        <w:spacing w:line="558"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③</w:t>
      </w:r>
      <w:r>
        <w:rPr>
          <w:rFonts w:ascii="Times New Roman" w:hAnsi="Times New Roman" w:eastAsia="仿宋_GB2312"/>
          <w:sz w:val="32"/>
          <w:szCs w:val="32"/>
        </w:rPr>
        <w:t>启动相关抗旱预案，并报上一级指挥部备案。必要时经区管委会批准，可宣布进入紧急抗旱期，启动各项特殊应急抗旱措施，如：应急开源、应急限水、应急调水、应急送水、人工增雨等各项抗旱措施等。</w:t>
      </w:r>
    </w:p>
    <w:p w14:paraId="3510CC04">
      <w:pPr>
        <w:adjustRightInd w:val="0"/>
        <w:snapToGrid w:val="0"/>
        <w:spacing w:line="558"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④</w:t>
      </w:r>
      <w:r>
        <w:rPr>
          <w:rFonts w:ascii="Times New Roman" w:hAnsi="Times New Roman" w:eastAsia="仿宋_GB2312"/>
          <w:sz w:val="32"/>
          <w:szCs w:val="32"/>
        </w:rPr>
        <w:t>密切监测旱情、及时分析旱情变化发展趋势，密切掌握旱情灾情及抗旱工作情况，及时分析旱情灾情对经济社会发展的影响，适时向社会通报旱情信息。</w:t>
      </w:r>
    </w:p>
    <w:p w14:paraId="413A8DED">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⑤</w:t>
      </w:r>
      <w:r>
        <w:rPr>
          <w:rFonts w:ascii="Times New Roman" w:hAnsi="Times New Roman" w:eastAsia="仿宋_GB2312"/>
          <w:sz w:val="32"/>
          <w:szCs w:val="32"/>
        </w:rPr>
        <w:t>加强旱情灾情及抗旱工作的宣传，动员社会各方面力量支援抗旱救灾工作。</w:t>
      </w:r>
    </w:p>
    <w:p w14:paraId="7903B964">
      <w:pPr>
        <w:adjustRightInd w:val="0"/>
        <w:snapToGrid w:val="0"/>
        <w:spacing w:line="550" w:lineRule="exact"/>
        <w:ind w:firstLine="640" w:firstLineChars="200"/>
        <w:rPr>
          <w:rFonts w:ascii="Times New Roman" w:hAnsi="Times New Roman" w:eastAsia="仿宋_GB2312"/>
          <w:sz w:val="32"/>
          <w:szCs w:val="32"/>
        </w:rPr>
      </w:pPr>
      <w:bookmarkStart w:id="132" w:name="_Toc1476"/>
      <w:bookmarkStart w:id="133" w:name="_Toc36652020"/>
      <w:r>
        <w:rPr>
          <w:rFonts w:ascii="Times New Roman" w:hAnsi="Times New Roman" w:eastAsia="仿宋_GB2312"/>
          <w:sz w:val="32"/>
          <w:szCs w:val="32"/>
        </w:rPr>
        <w:t>4.4.6  供水危机</w:t>
      </w:r>
      <w:bookmarkEnd w:id="132"/>
      <w:bookmarkEnd w:id="133"/>
    </w:p>
    <w:p w14:paraId="6F165EE9">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当发生供水危机时，区政府加强对城市地表水、地下水和外调水实行统一调度和管理，严格实施应急限水，合理调配有限的水源；采取辖区内、跨地区、跨流域应急调水，补充供水水源，生态环境部门加强供水水质的监测，最大程度保证城乡居民生活和重点单位用水安全。</w:t>
      </w:r>
    </w:p>
    <w:p w14:paraId="47022A27">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（2）针对供水危机出现的原因，采取措施，尽快恢复供水水源，使供水量和水质正常。</w:t>
      </w:r>
    </w:p>
    <w:p w14:paraId="3C919FE7">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134" w:name="_Toc36652021"/>
      <w:bookmarkStart w:id="135" w:name="_Toc26759"/>
      <w:bookmarkStart w:id="136" w:name="_Toc42178001"/>
      <w:r>
        <w:rPr>
          <w:rFonts w:ascii="Times New Roman" w:hAnsi="Times New Roman" w:eastAsia="楷体_GB2312"/>
          <w:sz w:val="32"/>
          <w:szCs w:val="32"/>
        </w:rPr>
        <w:t>4.5  信息报告和发布</w:t>
      </w:r>
      <w:bookmarkEnd w:id="134"/>
      <w:bookmarkEnd w:id="135"/>
      <w:bookmarkEnd w:id="136"/>
    </w:p>
    <w:p w14:paraId="228CAB2F">
      <w:pPr>
        <w:adjustRightInd w:val="0"/>
        <w:snapToGrid w:val="0"/>
        <w:spacing w:line="550" w:lineRule="exact"/>
        <w:ind w:firstLine="640" w:firstLineChars="200"/>
        <w:rPr>
          <w:rFonts w:ascii="Times New Roman" w:hAnsi="Times New Roman" w:eastAsia="仿宋_GB2312"/>
          <w:sz w:val="32"/>
          <w:szCs w:val="32"/>
        </w:rPr>
      </w:pPr>
      <w:bookmarkStart w:id="137" w:name="_Toc20293"/>
      <w:bookmarkStart w:id="138" w:name="_Toc36652022"/>
      <w:r>
        <w:rPr>
          <w:rFonts w:ascii="Times New Roman" w:hAnsi="Times New Roman" w:eastAsia="仿宋_GB2312"/>
          <w:sz w:val="32"/>
          <w:szCs w:val="32"/>
        </w:rPr>
        <w:t>4.5.1  信息报告</w:t>
      </w:r>
      <w:bookmarkEnd w:id="137"/>
      <w:bookmarkEnd w:id="138"/>
    </w:p>
    <w:p w14:paraId="27D8F5A8">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（1）汛情、旱情、工情、险情、灾情等防汛抗旱信息实行分级上报，归口处理，同级共享。</w:t>
      </w:r>
    </w:p>
    <w:p w14:paraId="2B8E971A">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险情、灾情发生后，各街道防汛抗旱指挥机构、职能部门和责任单位要按照相关预案和报告制度的规定，在组织抢险救援的同时，及时汇总相关信息并迅速报告。一旦发生重大险情、灾情，必须在接报后立即向区防办口头报告，在1小时内向区防办书面报告，并及时续报。</w:t>
      </w:r>
    </w:p>
    <w:p w14:paraId="770AEF53">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（3）区防办接报后，要在第一时间做好处置准备，视情报告市防指。</w:t>
      </w:r>
    </w:p>
    <w:p w14:paraId="65DB336F">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各街道防汛抗旱指挥机构、职能部门和责任单位要加强协作，建立突发险情、灾情等信息通报、协调渠道。一旦出现突发险情、灾情影响范围超出本行政区域的态势，要根据应急处置工作的需要，及时通报、联系和协调。</w:t>
      </w:r>
    </w:p>
    <w:p w14:paraId="03AEA813">
      <w:pPr>
        <w:adjustRightInd w:val="0"/>
        <w:snapToGrid w:val="0"/>
        <w:spacing w:line="550" w:lineRule="exact"/>
        <w:ind w:firstLine="640" w:firstLineChars="200"/>
        <w:rPr>
          <w:rFonts w:ascii="Times New Roman" w:hAnsi="Times New Roman" w:eastAsia="仿宋_GB2312"/>
          <w:sz w:val="32"/>
          <w:szCs w:val="32"/>
        </w:rPr>
      </w:pPr>
      <w:bookmarkStart w:id="139" w:name="_Toc20949"/>
      <w:bookmarkStart w:id="140" w:name="_Toc36652023"/>
      <w:r>
        <w:rPr>
          <w:rFonts w:ascii="Times New Roman" w:hAnsi="Times New Roman" w:eastAsia="仿宋_GB2312"/>
          <w:sz w:val="32"/>
          <w:szCs w:val="32"/>
        </w:rPr>
        <w:t>4.5.2  信息发布</w:t>
      </w:r>
      <w:bookmarkEnd w:id="139"/>
      <w:bookmarkEnd w:id="140"/>
    </w:p>
    <w:p w14:paraId="10FFB568">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（1）防汛抗旱的信息发布应当及时、准确、客观、全面。</w:t>
      </w:r>
    </w:p>
    <w:p w14:paraId="7D158586">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（2）区防办统一审核和发布防汛抗旱动态。</w:t>
      </w:r>
    </w:p>
    <w:p w14:paraId="1AE0904F">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（3）信息发布形式主要包括授权发布、播发新闻稿、组织报道、接受记者采访、举行新闻发布会等。</w:t>
      </w:r>
    </w:p>
    <w:p w14:paraId="23EDA16B">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141" w:name="_Toc8300"/>
      <w:bookmarkStart w:id="142" w:name="_Toc36652024"/>
      <w:bookmarkStart w:id="143" w:name="_Toc42178002"/>
      <w:r>
        <w:rPr>
          <w:rFonts w:ascii="Times New Roman" w:hAnsi="Times New Roman" w:eastAsia="楷体_GB2312"/>
          <w:sz w:val="32"/>
          <w:szCs w:val="32"/>
        </w:rPr>
        <w:t>4.6  社会动员和参与</w:t>
      </w:r>
      <w:bookmarkEnd w:id="141"/>
      <w:bookmarkEnd w:id="142"/>
      <w:bookmarkEnd w:id="143"/>
    </w:p>
    <w:p w14:paraId="6EF92A21">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出现水旱灾害后，区防指可根据事件的性质和危害程度报区管委会批准，对重点地区和重点部位实施紧急控制，防止事态及其危害的进一步扩大。必要时由区管委会广泛调动社会力量积极参与应急突发事件的处置，紧急情况下可依法征用、调用车辆、物资、人员等，全力投入抗洪抢险。 </w:t>
      </w:r>
    </w:p>
    <w:p w14:paraId="19E1B344">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144" w:name="_Toc42178003"/>
      <w:bookmarkStart w:id="145" w:name="_Toc36652025"/>
      <w:bookmarkStart w:id="146" w:name="_Toc13487"/>
      <w:r>
        <w:rPr>
          <w:rFonts w:ascii="Times New Roman" w:hAnsi="Times New Roman" w:eastAsia="楷体_GB2312"/>
          <w:sz w:val="32"/>
          <w:szCs w:val="32"/>
        </w:rPr>
        <w:t>4.7  应急响应变更和结束</w:t>
      </w:r>
      <w:bookmarkEnd w:id="144"/>
      <w:bookmarkEnd w:id="145"/>
      <w:bookmarkEnd w:id="146"/>
    </w:p>
    <w:p w14:paraId="767ED904">
      <w:pPr>
        <w:adjustRightInd w:val="0"/>
        <w:snapToGrid w:val="0"/>
        <w:spacing w:line="550" w:lineRule="exact"/>
        <w:ind w:firstLine="640" w:firstLineChars="200"/>
        <w:rPr>
          <w:rFonts w:ascii="Times New Roman" w:hAnsi="Times New Roman" w:eastAsia="仿宋_GB2312"/>
          <w:sz w:val="32"/>
          <w:szCs w:val="32"/>
        </w:rPr>
      </w:pPr>
      <w:bookmarkStart w:id="147" w:name="_Toc36652026"/>
      <w:bookmarkStart w:id="148" w:name="_Toc19932"/>
      <w:r>
        <w:rPr>
          <w:rFonts w:ascii="Times New Roman" w:hAnsi="Times New Roman" w:eastAsia="仿宋_GB2312"/>
          <w:sz w:val="32"/>
          <w:szCs w:val="32"/>
        </w:rPr>
        <w:t>4.7.1  应急响应变更</w:t>
      </w:r>
      <w:bookmarkEnd w:id="147"/>
      <w:bookmarkEnd w:id="148"/>
    </w:p>
    <w:p w14:paraId="0801C053">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区防指根据灾害发展趋势和对全区的影响情况适时变更应急响应等级。 </w:t>
      </w:r>
    </w:p>
    <w:p w14:paraId="014A8DF7">
      <w:pPr>
        <w:adjustRightInd w:val="0"/>
        <w:snapToGrid w:val="0"/>
        <w:spacing w:line="550" w:lineRule="exact"/>
        <w:ind w:firstLine="640" w:firstLineChars="200"/>
        <w:rPr>
          <w:rFonts w:ascii="Times New Roman" w:hAnsi="Times New Roman" w:eastAsia="仿宋_GB2312"/>
          <w:sz w:val="32"/>
          <w:szCs w:val="32"/>
        </w:rPr>
      </w:pPr>
      <w:bookmarkStart w:id="149" w:name="_Toc11222"/>
      <w:bookmarkStart w:id="150" w:name="_Toc36652027"/>
      <w:r>
        <w:rPr>
          <w:rFonts w:ascii="Times New Roman" w:hAnsi="Times New Roman" w:eastAsia="仿宋_GB2312"/>
          <w:sz w:val="32"/>
          <w:szCs w:val="32"/>
        </w:rPr>
        <w:t>4.7.2  应急响应结束</w:t>
      </w:r>
      <w:bookmarkEnd w:id="149"/>
      <w:bookmarkEnd w:id="150"/>
    </w:p>
    <w:p w14:paraId="05377906">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（1）当出现以下条件时，区防指视情结束防汛应急响应：</w:t>
      </w:r>
    </w:p>
    <w:p w14:paraId="4B2322DA">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工程险情得到控制；</w:t>
      </w:r>
    </w:p>
    <w:p w14:paraId="153CC7DE">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2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②</w:t>
      </w:r>
      <w:r>
        <w:rPr>
          <w:rFonts w:ascii="Times New Roman" w:hAnsi="Times New Roman" w:eastAsia="仿宋_GB2312"/>
          <w:sz w:val="32"/>
          <w:szCs w:val="32"/>
        </w:rPr>
        <w:fldChar w:fldCharType="end"/>
      </w:r>
      <w:r>
        <w:rPr>
          <w:rFonts w:ascii="Times New Roman" w:hAnsi="Times New Roman" w:eastAsia="仿宋_GB2312"/>
          <w:sz w:val="32"/>
          <w:szCs w:val="32"/>
        </w:rPr>
        <w:t>汛情得到有效缓解。</w:t>
      </w:r>
    </w:p>
    <w:p w14:paraId="37FD6390">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（2）当出现以下条件时，区防指视情结束抗旱应急响应：</w:t>
      </w:r>
    </w:p>
    <w:p w14:paraId="7E0DBF88">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旱情得到有效缓解；</w:t>
      </w:r>
    </w:p>
    <w:p w14:paraId="57DC7670">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2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②</w:t>
      </w:r>
      <w:r>
        <w:rPr>
          <w:rFonts w:ascii="Times New Roman" w:hAnsi="Times New Roman" w:eastAsia="仿宋_GB2312"/>
          <w:sz w:val="32"/>
          <w:szCs w:val="32"/>
        </w:rPr>
        <w:fldChar w:fldCharType="end"/>
      </w:r>
      <w:r>
        <w:rPr>
          <w:rFonts w:ascii="Times New Roman" w:hAnsi="Times New Roman" w:eastAsia="仿宋_GB2312"/>
          <w:sz w:val="32"/>
          <w:szCs w:val="32"/>
        </w:rPr>
        <w:t>旱灾应急处置工作完成。</w:t>
      </w:r>
    </w:p>
    <w:p w14:paraId="778DD508">
      <w:pPr>
        <w:keepNext/>
        <w:keepLines/>
        <w:adjustRightInd w:val="0"/>
        <w:snapToGrid w:val="0"/>
        <w:spacing w:line="560" w:lineRule="exact"/>
        <w:ind w:firstLine="640" w:firstLineChars="200"/>
        <w:outlineLvl w:val="0"/>
        <w:rPr>
          <w:rFonts w:ascii="Times New Roman" w:hAnsi="Times New Roman" w:eastAsia="黑体"/>
          <w:kern w:val="44"/>
          <w:sz w:val="32"/>
          <w:szCs w:val="32"/>
        </w:rPr>
      </w:pPr>
      <w:bookmarkStart w:id="151" w:name="_Toc23166"/>
      <w:bookmarkStart w:id="152" w:name="_Toc11032"/>
      <w:bookmarkStart w:id="153" w:name="_Toc19679"/>
      <w:bookmarkStart w:id="154" w:name="_Toc42178004"/>
      <w:bookmarkStart w:id="155" w:name="_Toc20257"/>
      <w:bookmarkStart w:id="156" w:name="_Toc36652029"/>
      <w:bookmarkStart w:id="157" w:name="_Toc18875"/>
      <w:r>
        <w:rPr>
          <w:rFonts w:ascii="Times New Roman" w:hAnsi="Times New Roman" w:eastAsia="黑体"/>
          <w:kern w:val="44"/>
          <w:sz w:val="32"/>
          <w:szCs w:val="32"/>
        </w:rPr>
        <w:t>5  保障措施</w:t>
      </w:r>
      <w:bookmarkEnd w:id="151"/>
      <w:bookmarkEnd w:id="152"/>
      <w:bookmarkEnd w:id="153"/>
      <w:bookmarkEnd w:id="154"/>
      <w:bookmarkEnd w:id="155"/>
      <w:bookmarkEnd w:id="156"/>
      <w:bookmarkEnd w:id="157"/>
    </w:p>
    <w:p w14:paraId="2E432B29">
      <w:pPr>
        <w:keepNext/>
        <w:keepLines/>
        <w:adjustRightInd w:val="0"/>
        <w:snapToGrid w:val="0"/>
        <w:spacing w:line="560" w:lineRule="exact"/>
        <w:ind w:firstLine="640" w:firstLineChars="200"/>
        <w:outlineLvl w:val="2"/>
        <w:rPr>
          <w:rFonts w:ascii="Times New Roman" w:hAnsi="Times New Roman" w:eastAsia="楷体_GB2312"/>
          <w:sz w:val="32"/>
          <w:szCs w:val="32"/>
        </w:rPr>
      </w:pPr>
      <w:bookmarkStart w:id="158" w:name="_Toc42178005"/>
      <w:bookmarkStart w:id="159" w:name="_Toc15868"/>
      <w:r>
        <w:rPr>
          <w:rFonts w:ascii="Times New Roman" w:hAnsi="Times New Roman" w:eastAsia="楷体_GB2312"/>
          <w:sz w:val="32"/>
          <w:szCs w:val="32"/>
        </w:rPr>
        <w:t>5.1  组织保障</w:t>
      </w:r>
      <w:bookmarkEnd w:id="158"/>
      <w:bookmarkEnd w:id="159"/>
    </w:p>
    <w:p w14:paraId="5E9A0A45">
      <w:pPr>
        <w:topLinePunct/>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建立健全防汛抗旱指挥机构，完善组织体系，细化成员单位任务分工，明确工作衔接关系，建立与本区防汛抗旱组织相适应的应急联动、信息共享、组织协调等工作机制。 </w:t>
      </w:r>
    </w:p>
    <w:p w14:paraId="27BE75FA">
      <w:pPr>
        <w:keepNext/>
        <w:keepLines/>
        <w:adjustRightInd w:val="0"/>
        <w:snapToGrid w:val="0"/>
        <w:spacing w:line="560" w:lineRule="exact"/>
        <w:ind w:firstLine="640" w:firstLineChars="200"/>
        <w:outlineLvl w:val="2"/>
        <w:rPr>
          <w:rFonts w:ascii="Times New Roman" w:hAnsi="Times New Roman" w:eastAsia="楷体_GB2312"/>
          <w:sz w:val="32"/>
          <w:szCs w:val="32"/>
        </w:rPr>
      </w:pPr>
      <w:bookmarkStart w:id="160" w:name="_Toc24243"/>
      <w:bookmarkStart w:id="161" w:name="_Toc42178006"/>
      <w:bookmarkStart w:id="162" w:name="_Toc36652030"/>
      <w:r>
        <w:rPr>
          <w:rFonts w:ascii="Times New Roman" w:hAnsi="Times New Roman" w:eastAsia="楷体_GB2312"/>
          <w:sz w:val="32"/>
          <w:szCs w:val="32"/>
        </w:rPr>
        <w:t>5.2  资金保障</w:t>
      </w:r>
      <w:bookmarkEnd w:id="160"/>
      <w:bookmarkEnd w:id="161"/>
      <w:bookmarkEnd w:id="162"/>
    </w:p>
    <w:p w14:paraId="35DB98EB">
      <w:pPr>
        <w:topLinePunct/>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区财政局安排防汛抗旱专项资金，用于补助遭受水旱灾害的街道和区各相关单位开展防汛抗洪抢险、修复水毁水利设施以及抗旱支出。防汛抗旱抢险应急处置经费，按现行事权、财权划分原则，分级负担。</w:t>
      </w:r>
      <w:bookmarkStart w:id="163" w:name="_Toc36652031"/>
    </w:p>
    <w:p w14:paraId="01128C1E">
      <w:pPr>
        <w:keepNext/>
        <w:keepLines/>
        <w:adjustRightInd w:val="0"/>
        <w:snapToGrid w:val="0"/>
        <w:spacing w:line="560" w:lineRule="exact"/>
        <w:ind w:firstLine="640" w:firstLineChars="200"/>
        <w:outlineLvl w:val="2"/>
        <w:rPr>
          <w:rFonts w:ascii="Times New Roman" w:hAnsi="Times New Roman" w:eastAsia="楷体_GB2312"/>
          <w:sz w:val="32"/>
          <w:szCs w:val="32"/>
        </w:rPr>
      </w:pPr>
      <w:bookmarkStart w:id="164" w:name="_Toc42178007"/>
      <w:bookmarkStart w:id="165" w:name="_Toc32039"/>
      <w:r>
        <w:rPr>
          <w:rFonts w:ascii="Times New Roman" w:hAnsi="Times New Roman" w:eastAsia="楷体_GB2312"/>
          <w:sz w:val="32"/>
          <w:szCs w:val="32"/>
        </w:rPr>
        <w:t>5.3  物资保障</w:t>
      </w:r>
      <w:bookmarkEnd w:id="163"/>
      <w:bookmarkEnd w:id="164"/>
      <w:bookmarkEnd w:id="165"/>
    </w:p>
    <w:p w14:paraId="3C12B827">
      <w:pPr>
        <w:topLinePunct/>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应急管理、经发、社会事业等部门按职责分工负责储备防汛抗旱、抢险救援救灾物资及装备，其他企事业单位应按相关规定储备防汛抢险抗旱物资及设备。区防指可委托代储部分抢险物资和设备。 </w:t>
      </w:r>
    </w:p>
    <w:p w14:paraId="01C6718B">
      <w:pPr>
        <w:keepNext/>
        <w:keepLines/>
        <w:adjustRightInd w:val="0"/>
        <w:snapToGrid w:val="0"/>
        <w:spacing w:line="560" w:lineRule="exact"/>
        <w:ind w:firstLine="640" w:firstLineChars="200"/>
        <w:outlineLvl w:val="2"/>
        <w:rPr>
          <w:rFonts w:ascii="Times New Roman" w:hAnsi="Times New Roman" w:eastAsia="楷体_GB2312"/>
          <w:sz w:val="32"/>
          <w:szCs w:val="32"/>
        </w:rPr>
      </w:pPr>
      <w:bookmarkStart w:id="166" w:name="_Toc42178008"/>
      <w:bookmarkStart w:id="167" w:name="_Toc36652032"/>
      <w:bookmarkStart w:id="168" w:name="_Toc14709"/>
      <w:r>
        <w:rPr>
          <w:rFonts w:ascii="Times New Roman" w:hAnsi="Times New Roman" w:eastAsia="楷体_GB2312"/>
          <w:sz w:val="32"/>
          <w:szCs w:val="32"/>
        </w:rPr>
        <w:t>5.4  队伍保障</w:t>
      </w:r>
      <w:bookmarkEnd w:id="166"/>
      <w:bookmarkEnd w:id="167"/>
      <w:bookmarkEnd w:id="168"/>
    </w:p>
    <w:p w14:paraId="000DB84C">
      <w:pPr>
        <w:topLinePunct/>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防汛抗旱抢险队伍由区消防救援大队、区专业抢险救援队伍、区基层抢险队伍及社会抢险力量等组成。公安、住建、交警、消防等部门组建专业抢险救援队伍。区防指应组织抢险救援队伍开展业务培训和演练工作。 </w:t>
      </w:r>
    </w:p>
    <w:p w14:paraId="062BD7FF">
      <w:pPr>
        <w:adjustRightInd w:val="0"/>
        <w:snapToGrid w:val="0"/>
        <w:spacing w:line="560" w:lineRule="exact"/>
        <w:ind w:firstLine="640" w:firstLineChars="200"/>
        <w:outlineLvl w:val="2"/>
        <w:rPr>
          <w:rFonts w:ascii="Times New Roman" w:hAnsi="Times New Roman" w:eastAsia="楷体_GB2312"/>
          <w:sz w:val="32"/>
          <w:szCs w:val="32"/>
        </w:rPr>
      </w:pPr>
      <w:bookmarkStart w:id="169" w:name="_Toc12607"/>
      <w:bookmarkStart w:id="170" w:name="_Toc36652033"/>
      <w:bookmarkStart w:id="171" w:name="_Toc42178009"/>
      <w:r>
        <w:rPr>
          <w:rFonts w:ascii="Times New Roman" w:hAnsi="Times New Roman" w:eastAsia="楷体_GB2312"/>
          <w:sz w:val="32"/>
          <w:szCs w:val="32"/>
        </w:rPr>
        <w:t>5.5  技术保障</w:t>
      </w:r>
      <w:bookmarkEnd w:id="169"/>
      <w:bookmarkEnd w:id="170"/>
      <w:bookmarkEnd w:id="171"/>
    </w:p>
    <w:p w14:paraId="40123281">
      <w:pPr>
        <w:topLinePunct/>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区防办完善防汛抗旱指挥系统建设。区社会事业局承担防汛抗旱抢险技术支撑工作。</w:t>
      </w:r>
    </w:p>
    <w:p w14:paraId="11DC7383">
      <w:pPr>
        <w:adjustRightInd w:val="0"/>
        <w:snapToGrid w:val="0"/>
        <w:spacing w:line="560" w:lineRule="exact"/>
        <w:ind w:firstLine="640" w:firstLineChars="200"/>
        <w:outlineLvl w:val="2"/>
        <w:rPr>
          <w:rFonts w:ascii="Times New Roman" w:hAnsi="Times New Roman" w:eastAsia="楷体_GB2312"/>
          <w:sz w:val="32"/>
          <w:szCs w:val="32"/>
        </w:rPr>
      </w:pPr>
      <w:bookmarkStart w:id="172" w:name="_Toc10420"/>
      <w:bookmarkStart w:id="173" w:name="_Toc36652037"/>
      <w:bookmarkStart w:id="174" w:name="_Toc42178013"/>
      <w:r>
        <w:rPr>
          <w:rFonts w:ascii="Times New Roman" w:hAnsi="Times New Roman" w:eastAsia="楷体_GB2312"/>
          <w:sz w:val="32"/>
          <w:szCs w:val="32"/>
        </w:rPr>
        <w:t>5.6 治安保障</w:t>
      </w:r>
      <w:bookmarkEnd w:id="172"/>
      <w:bookmarkEnd w:id="173"/>
      <w:bookmarkEnd w:id="174"/>
    </w:p>
    <w:p w14:paraId="323ED4F1">
      <w:pPr>
        <w:topLinePunct/>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公安部门负责做好水旱灾区的治安管理工作，依法严厉打击破坏抗灾救灾行动和工程设施安全的行为，保证抗灾救灾工作的顺利进行；负责组织做好防汛抢险的戒严工作，维护灾区的社会治安秩序。 </w:t>
      </w:r>
    </w:p>
    <w:p w14:paraId="46FAE006">
      <w:pPr>
        <w:adjustRightInd w:val="0"/>
        <w:snapToGrid w:val="0"/>
        <w:spacing w:line="560" w:lineRule="exact"/>
        <w:ind w:firstLine="640" w:firstLineChars="200"/>
        <w:outlineLvl w:val="2"/>
        <w:rPr>
          <w:rFonts w:ascii="Times New Roman" w:hAnsi="Times New Roman" w:eastAsia="楷体_GB2312"/>
          <w:sz w:val="32"/>
          <w:szCs w:val="32"/>
        </w:rPr>
      </w:pPr>
      <w:bookmarkStart w:id="175" w:name="_Toc2166"/>
      <w:bookmarkStart w:id="176" w:name="_Toc14091"/>
      <w:r>
        <w:rPr>
          <w:rFonts w:ascii="Times New Roman" w:hAnsi="Times New Roman" w:eastAsia="楷体_GB2312"/>
          <w:sz w:val="32"/>
          <w:szCs w:val="32"/>
        </w:rPr>
        <w:t>5.7 宣传、培训和演练</w:t>
      </w:r>
      <w:bookmarkEnd w:id="175"/>
      <w:bookmarkEnd w:id="176"/>
    </w:p>
    <w:p w14:paraId="376A2F55">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办负责组织防汛抗旱应急预案的宣传、培训和演练工作，增强民众的防汛抗旱防灾减灾意识，提高自防、自救、互救能力；结合本地区实际，组织应急管理人员、救援人员、志愿者等进行防汛抗旱抢险救援技能培训；根据实际情况开展不同形式的抢险救援应急演习，切实提高应急救援能力；应急预案宣传培训演练次数应至少一年一次。</w:t>
      </w:r>
    </w:p>
    <w:p w14:paraId="6C01C5DF">
      <w:pPr>
        <w:adjustRightInd w:val="0"/>
        <w:snapToGrid w:val="0"/>
        <w:spacing w:line="560" w:lineRule="exact"/>
        <w:ind w:firstLine="640" w:firstLineChars="200"/>
        <w:outlineLvl w:val="0"/>
        <w:rPr>
          <w:rFonts w:ascii="Times New Roman" w:hAnsi="Times New Roman" w:eastAsia="黑体"/>
          <w:kern w:val="44"/>
          <w:sz w:val="32"/>
          <w:szCs w:val="32"/>
        </w:rPr>
      </w:pPr>
      <w:bookmarkStart w:id="177" w:name="_Toc10345"/>
      <w:bookmarkStart w:id="178" w:name="_Toc42178014"/>
      <w:bookmarkStart w:id="179" w:name="_Toc13526"/>
      <w:bookmarkStart w:id="180" w:name="_Toc2990"/>
      <w:bookmarkStart w:id="181" w:name="_Toc36652038"/>
      <w:bookmarkStart w:id="182" w:name="_Toc21119"/>
      <w:bookmarkStart w:id="183" w:name="_Toc14925"/>
      <w:r>
        <w:rPr>
          <w:rFonts w:ascii="Times New Roman" w:hAnsi="Times New Roman" w:eastAsia="黑体"/>
          <w:kern w:val="44"/>
          <w:sz w:val="32"/>
          <w:szCs w:val="32"/>
        </w:rPr>
        <w:t>6  善后工作</w:t>
      </w:r>
      <w:bookmarkEnd w:id="177"/>
      <w:bookmarkEnd w:id="178"/>
      <w:bookmarkEnd w:id="179"/>
      <w:bookmarkEnd w:id="180"/>
      <w:bookmarkEnd w:id="181"/>
      <w:bookmarkEnd w:id="182"/>
      <w:bookmarkEnd w:id="183"/>
    </w:p>
    <w:p w14:paraId="39D7A833">
      <w:pPr>
        <w:adjustRightInd w:val="0"/>
        <w:snapToGrid w:val="0"/>
        <w:spacing w:line="560" w:lineRule="exact"/>
        <w:ind w:firstLine="640" w:firstLineChars="200"/>
        <w:outlineLvl w:val="2"/>
        <w:rPr>
          <w:rFonts w:ascii="Times New Roman" w:hAnsi="Times New Roman" w:eastAsia="楷体_GB2312"/>
          <w:sz w:val="32"/>
          <w:szCs w:val="32"/>
        </w:rPr>
      </w:pPr>
      <w:bookmarkStart w:id="184" w:name="_Toc42178015"/>
      <w:bookmarkStart w:id="185" w:name="_Toc16484"/>
      <w:bookmarkStart w:id="186" w:name="_Toc36652039"/>
      <w:r>
        <w:rPr>
          <w:rFonts w:ascii="Times New Roman" w:hAnsi="Times New Roman" w:eastAsia="楷体_GB2312"/>
          <w:sz w:val="32"/>
          <w:szCs w:val="32"/>
        </w:rPr>
        <w:t>6.1  灾后重建</w:t>
      </w:r>
      <w:bookmarkEnd w:id="184"/>
      <w:bookmarkEnd w:id="185"/>
      <w:bookmarkEnd w:id="186"/>
    </w:p>
    <w:p w14:paraId="72FA5D13">
      <w:pPr>
        <w:topLinePunct/>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各相关部门应尽快组织灾后重建，开展恢复重建工作，条件允许可提高标准重建。汛情旱情解除后，对经批准的临时工程和设施须尽快拆除，恢复原状。</w:t>
      </w:r>
    </w:p>
    <w:p w14:paraId="0975E02E">
      <w:pPr>
        <w:adjustRightInd w:val="0"/>
        <w:snapToGrid w:val="0"/>
        <w:spacing w:line="560" w:lineRule="exact"/>
        <w:ind w:firstLine="640" w:firstLineChars="200"/>
        <w:outlineLvl w:val="2"/>
        <w:rPr>
          <w:rFonts w:ascii="Times New Roman" w:hAnsi="Times New Roman" w:eastAsia="楷体_GB2312"/>
          <w:sz w:val="32"/>
          <w:szCs w:val="32"/>
        </w:rPr>
      </w:pPr>
      <w:bookmarkStart w:id="187" w:name="_Toc42178016"/>
      <w:bookmarkStart w:id="188" w:name="_Toc28285"/>
      <w:bookmarkStart w:id="189" w:name="_Toc36652040"/>
      <w:r>
        <w:rPr>
          <w:rFonts w:ascii="Times New Roman" w:hAnsi="Times New Roman" w:eastAsia="楷体_GB2312"/>
          <w:sz w:val="32"/>
          <w:szCs w:val="32"/>
        </w:rPr>
        <w:t>6.2  水毁修复</w:t>
      </w:r>
      <w:bookmarkEnd w:id="187"/>
      <w:bookmarkEnd w:id="188"/>
      <w:bookmarkEnd w:id="189"/>
    </w:p>
    <w:p w14:paraId="64460CEB">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汛期结束或洪水退去后，相关部门按各自职责尽快修复市政公用、交通、水利等水毁工程设施，力争在下一次洪水到来之前恢复主体功能。 </w:t>
      </w:r>
    </w:p>
    <w:p w14:paraId="6A1E3175">
      <w:pPr>
        <w:adjustRightInd w:val="0"/>
        <w:snapToGrid w:val="0"/>
        <w:spacing w:line="560" w:lineRule="exact"/>
        <w:ind w:firstLine="640" w:firstLineChars="200"/>
        <w:outlineLvl w:val="2"/>
        <w:rPr>
          <w:rFonts w:ascii="Times New Roman" w:hAnsi="Times New Roman" w:eastAsia="楷体_GB2312"/>
          <w:sz w:val="32"/>
          <w:szCs w:val="32"/>
        </w:rPr>
      </w:pPr>
      <w:bookmarkStart w:id="190" w:name="_Toc4935"/>
      <w:bookmarkStart w:id="191" w:name="_Toc36652041"/>
      <w:bookmarkStart w:id="192" w:name="_Toc42178017"/>
      <w:r>
        <w:rPr>
          <w:rFonts w:ascii="Times New Roman" w:hAnsi="Times New Roman" w:eastAsia="楷体_GB2312"/>
          <w:sz w:val="32"/>
          <w:szCs w:val="32"/>
        </w:rPr>
        <w:t>6.3  物资补充</w:t>
      </w:r>
      <w:bookmarkEnd w:id="190"/>
      <w:bookmarkEnd w:id="191"/>
      <w:bookmarkEnd w:id="192"/>
    </w:p>
    <w:p w14:paraId="4C91B18A">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针对当年防汛抗旱物资消耗情况，及时补充到位，所需物料数量和品种按物资储备定额确定。 </w:t>
      </w:r>
    </w:p>
    <w:p w14:paraId="7E6CACEF">
      <w:pPr>
        <w:adjustRightInd w:val="0"/>
        <w:snapToGrid w:val="0"/>
        <w:spacing w:line="560" w:lineRule="exact"/>
        <w:ind w:firstLine="640" w:firstLineChars="200"/>
        <w:outlineLvl w:val="2"/>
        <w:rPr>
          <w:rFonts w:ascii="Times New Roman" w:hAnsi="Times New Roman" w:eastAsia="楷体_GB2312"/>
          <w:sz w:val="32"/>
          <w:szCs w:val="32"/>
        </w:rPr>
      </w:pPr>
      <w:bookmarkStart w:id="193" w:name="_Toc36652043"/>
      <w:bookmarkStart w:id="194" w:name="_Toc42178018"/>
      <w:bookmarkStart w:id="195" w:name="_Toc1818"/>
      <w:r>
        <w:rPr>
          <w:rFonts w:ascii="Times New Roman" w:hAnsi="Times New Roman" w:eastAsia="楷体_GB2312"/>
          <w:sz w:val="32"/>
          <w:szCs w:val="32"/>
        </w:rPr>
        <w:t>6.4  补偿要求</w:t>
      </w:r>
      <w:bookmarkEnd w:id="193"/>
      <w:bookmarkEnd w:id="194"/>
      <w:bookmarkEnd w:id="195"/>
    </w:p>
    <w:p w14:paraId="21509CA1">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区防指在紧急防汛抗旱期征用、调用的物资、设备、交通运输工具等，结束后应及时归还或按有关规定给予补偿。 </w:t>
      </w:r>
    </w:p>
    <w:p w14:paraId="39A09058">
      <w:pPr>
        <w:adjustRightInd w:val="0"/>
        <w:snapToGrid w:val="0"/>
        <w:spacing w:line="560" w:lineRule="exact"/>
        <w:ind w:firstLine="640" w:firstLineChars="200"/>
        <w:outlineLvl w:val="2"/>
        <w:rPr>
          <w:rFonts w:ascii="Times New Roman" w:hAnsi="Times New Roman" w:eastAsia="楷体_GB2312"/>
          <w:sz w:val="32"/>
          <w:szCs w:val="32"/>
        </w:rPr>
      </w:pPr>
      <w:bookmarkStart w:id="196" w:name="_Toc30397"/>
      <w:bookmarkStart w:id="197" w:name="_Toc36652044"/>
      <w:bookmarkStart w:id="198" w:name="_Toc42178019"/>
      <w:r>
        <w:rPr>
          <w:rFonts w:ascii="Times New Roman" w:hAnsi="Times New Roman" w:eastAsia="楷体_GB2312"/>
          <w:sz w:val="32"/>
          <w:szCs w:val="32"/>
        </w:rPr>
        <w:t>6.5  总结评估</w:t>
      </w:r>
      <w:bookmarkEnd w:id="196"/>
      <w:bookmarkEnd w:id="197"/>
      <w:bookmarkEnd w:id="198"/>
    </w:p>
    <w:p w14:paraId="08E0183D">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区防指每年应针对防汛抗旱工作的各个方面和环节进行总结、评估，提出改进建议。</w:t>
      </w:r>
    </w:p>
    <w:p w14:paraId="0EB46B87">
      <w:pPr>
        <w:adjustRightInd w:val="0"/>
        <w:snapToGrid w:val="0"/>
        <w:spacing w:line="560" w:lineRule="exact"/>
        <w:ind w:firstLine="640" w:firstLineChars="200"/>
        <w:outlineLvl w:val="0"/>
        <w:rPr>
          <w:rFonts w:ascii="Times New Roman" w:hAnsi="Times New Roman" w:eastAsia="黑体"/>
          <w:kern w:val="44"/>
          <w:sz w:val="32"/>
          <w:szCs w:val="32"/>
        </w:rPr>
      </w:pPr>
      <w:bookmarkStart w:id="199" w:name="_Toc1134"/>
      <w:bookmarkStart w:id="200" w:name="_Toc36652045"/>
      <w:bookmarkStart w:id="201" w:name="_Toc5214"/>
      <w:bookmarkStart w:id="202" w:name="_Toc42178020"/>
      <w:bookmarkStart w:id="203" w:name="_Toc17381"/>
      <w:bookmarkStart w:id="204" w:name="_Toc12652"/>
      <w:bookmarkStart w:id="205" w:name="_Toc14110"/>
      <w:r>
        <w:rPr>
          <w:rFonts w:ascii="Times New Roman" w:hAnsi="Times New Roman" w:eastAsia="黑体"/>
          <w:kern w:val="44"/>
          <w:sz w:val="32"/>
          <w:szCs w:val="32"/>
        </w:rPr>
        <w:t>7  预案管理</w:t>
      </w:r>
      <w:bookmarkEnd w:id="199"/>
      <w:bookmarkEnd w:id="200"/>
      <w:bookmarkEnd w:id="201"/>
      <w:bookmarkEnd w:id="202"/>
      <w:bookmarkEnd w:id="203"/>
      <w:bookmarkEnd w:id="204"/>
      <w:bookmarkEnd w:id="205"/>
    </w:p>
    <w:p w14:paraId="6C8746E6">
      <w:pPr>
        <w:adjustRightInd w:val="0"/>
        <w:snapToGrid w:val="0"/>
        <w:spacing w:line="560" w:lineRule="exact"/>
        <w:ind w:firstLine="640" w:firstLineChars="200"/>
        <w:outlineLvl w:val="2"/>
        <w:rPr>
          <w:rFonts w:ascii="Times New Roman" w:hAnsi="Times New Roman" w:eastAsia="楷体_GB2312"/>
          <w:sz w:val="32"/>
          <w:szCs w:val="32"/>
        </w:rPr>
      </w:pPr>
      <w:bookmarkStart w:id="206" w:name="_Toc36652046"/>
      <w:bookmarkStart w:id="207" w:name="_Toc42178021"/>
      <w:bookmarkStart w:id="208" w:name="_Toc25549"/>
      <w:r>
        <w:rPr>
          <w:rFonts w:ascii="Times New Roman" w:hAnsi="Times New Roman" w:eastAsia="楷体_GB2312"/>
          <w:sz w:val="32"/>
          <w:szCs w:val="32"/>
        </w:rPr>
        <w:t>7.1  预案修订</w:t>
      </w:r>
      <w:bookmarkEnd w:id="206"/>
      <w:bookmarkEnd w:id="207"/>
      <w:bookmarkEnd w:id="208"/>
    </w:p>
    <w:p w14:paraId="54FA9455">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本预案由区社会事业局牵头负责编制，经区管委会审批，并报市政府和市防指备案。各街道、区有关部门（单位）结合实际，编制本部门（单位）防汛抗旱应急预案或纳入区应急预案，报区防指备案。</w:t>
      </w:r>
    </w:p>
    <w:p w14:paraId="26A3AE88">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防汛抗旱应急预案应根据本区域实际情况变化适时修订，每3～5年对预案评估修订一次，并按原报批程序报批。</w:t>
      </w:r>
    </w:p>
    <w:p w14:paraId="08E448D1">
      <w:pPr>
        <w:adjustRightInd w:val="0"/>
        <w:snapToGrid w:val="0"/>
        <w:spacing w:line="560" w:lineRule="exact"/>
        <w:ind w:firstLine="640" w:firstLineChars="200"/>
        <w:outlineLvl w:val="2"/>
        <w:rPr>
          <w:rFonts w:ascii="Times New Roman" w:hAnsi="Times New Roman" w:eastAsia="楷体_GB2312"/>
          <w:sz w:val="32"/>
          <w:szCs w:val="32"/>
        </w:rPr>
      </w:pPr>
      <w:bookmarkStart w:id="209" w:name="_Toc42178022"/>
      <w:bookmarkStart w:id="210" w:name="_Toc26574"/>
      <w:bookmarkStart w:id="211" w:name="_Toc36652047"/>
      <w:r>
        <w:rPr>
          <w:rFonts w:ascii="Times New Roman" w:hAnsi="Times New Roman" w:eastAsia="楷体_GB2312"/>
          <w:sz w:val="32"/>
          <w:szCs w:val="32"/>
        </w:rPr>
        <w:t>7.2  预案解释部门</w:t>
      </w:r>
      <w:bookmarkEnd w:id="209"/>
      <w:bookmarkEnd w:id="210"/>
      <w:bookmarkEnd w:id="211"/>
    </w:p>
    <w:p w14:paraId="091BF8FB">
      <w:pPr>
        <w:topLinePunct/>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本预案由区社会事业局负责解释。</w:t>
      </w:r>
    </w:p>
    <w:p w14:paraId="39EF341A">
      <w:pPr>
        <w:adjustRightInd w:val="0"/>
        <w:snapToGrid w:val="0"/>
        <w:spacing w:line="560" w:lineRule="exact"/>
        <w:ind w:firstLine="640" w:firstLineChars="200"/>
        <w:outlineLvl w:val="2"/>
        <w:rPr>
          <w:rFonts w:ascii="Times New Roman" w:hAnsi="Times New Roman" w:eastAsia="楷体_GB2312"/>
          <w:sz w:val="32"/>
          <w:szCs w:val="32"/>
        </w:rPr>
      </w:pPr>
      <w:bookmarkStart w:id="212" w:name="_Toc777"/>
      <w:bookmarkStart w:id="213" w:name="_Toc36652048"/>
      <w:bookmarkStart w:id="214" w:name="_Toc42178023"/>
      <w:r>
        <w:rPr>
          <w:rFonts w:ascii="Times New Roman" w:hAnsi="Times New Roman" w:eastAsia="楷体_GB2312"/>
          <w:sz w:val="32"/>
          <w:szCs w:val="32"/>
        </w:rPr>
        <w:t>7.3  预案实施时间</w:t>
      </w:r>
      <w:bookmarkEnd w:id="212"/>
      <w:bookmarkEnd w:id="213"/>
      <w:bookmarkEnd w:id="214"/>
    </w:p>
    <w:p w14:paraId="17E74C49">
      <w:pPr>
        <w:topLinePunct/>
        <w:adjustRightInd w:val="0"/>
        <w:snapToGrid w:val="0"/>
        <w:spacing w:line="560" w:lineRule="exact"/>
        <w:ind w:firstLine="640" w:firstLineChars="200"/>
        <w:rPr>
          <w:rFonts w:ascii="Times New Roman" w:hAnsi="Times New Roman" w:eastAsia="宋体"/>
          <w:sz w:val="32"/>
          <w:szCs w:val="32"/>
        </w:rPr>
      </w:pPr>
      <w:r>
        <w:rPr>
          <w:rFonts w:ascii="Times New Roman" w:hAnsi="Times New Roman" w:eastAsia="仿宋_GB2312"/>
          <w:sz w:val="32"/>
          <w:szCs w:val="32"/>
        </w:rPr>
        <w:t>本预案自批复之日起施行。</w:t>
      </w:r>
    </w:p>
    <w:p w14:paraId="5A5DD86D">
      <w:pPr>
        <w:keepNext/>
        <w:keepLines/>
        <w:pageBreakBefore/>
        <w:spacing w:before="120" w:beforeLines="50" w:after="120" w:afterLines="50"/>
        <w:ind w:firstLine="480" w:firstLineChars="150"/>
        <w:outlineLvl w:val="0"/>
        <w:rPr>
          <w:rFonts w:ascii="Times New Roman" w:hAnsi="Times New Roman" w:eastAsia="黑体"/>
          <w:kern w:val="44"/>
          <w:sz w:val="32"/>
          <w:szCs w:val="32"/>
        </w:rPr>
      </w:pPr>
      <w:bookmarkStart w:id="215" w:name="_Toc4499"/>
      <w:bookmarkStart w:id="216" w:name="_Toc42178024"/>
      <w:bookmarkStart w:id="217" w:name="_Toc29856"/>
      <w:bookmarkStart w:id="218" w:name="_Toc36652049"/>
      <w:bookmarkStart w:id="219" w:name="_Toc23355"/>
      <w:bookmarkStart w:id="220" w:name="_Toc2090"/>
      <w:bookmarkStart w:id="221" w:name="_Toc1105"/>
      <w:r>
        <w:rPr>
          <w:rFonts w:ascii="Times New Roman" w:hAnsi="Times New Roman" w:eastAsia="黑体"/>
          <w:kern w:val="44"/>
          <w:sz w:val="32"/>
          <w:szCs w:val="32"/>
        </w:rPr>
        <w:t>8  附表、附图、附件</w:t>
      </w:r>
      <w:bookmarkEnd w:id="215"/>
    </w:p>
    <w:p w14:paraId="05AFFC4B">
      <w:pPr>
        <w:pStyle w:val="2"/>
        <w:ind w:firstLine="560"/>
        <w:jc w:val="center"/>
        <w:rPr>
          <w:rFonts w:cs="Times New Roman"/>
          <w:bCs/>
          <w:sz w:val="28"/>
          <w:szCs w:val="28"/>
        </w:rPr>
      </w:pPr>
      <w:r>
        <w:rPr>
          <w:rFonts w:cs="Times New Roman"/>
          <w:bCs/>
          <w:sz w:val="28"/>
          <w:szCs w:val="28"/>
        </w:rPr>
        <w:t>附表1：开发区防汛抢险突击队统计表</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900"/>
        <w:gridCol w:w="781"/>
        <w:gridCol w:w="1277"/>
        <w:gridCol w:w="1344"/>
        <w:gridCol w:w="1004"/>
        <w:gridCol w:w="1929"/>
        <w:gridCol w:w="1281"/>
      </w:tblGrid>
      <w:tr w14:paraId="3D8FE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 w:type="pct"/>
            <w:vMerge w:val="restart"/>
            <w:vAlign w:val="center"/>
          </w:tcPr>
          <w:p w14:paraId="4B6D57D0">
            <w:pPr>
              <w:jc w:val="center"/>
              <w:rPr>
                <w:rFonts w:ascii="Times New Roman" w:hAnsi="Times New Roman" w:eastAsia="宋体"/>
                <w:bCs/>
                <w:sz w:val="24"/>
                <w:szCs w:val="24"/>
              </w:rPr>
            </w:pPr>
            <w:r>
              <w:rPr>
                <w:rFonts w:ascii="Times New Roman" w:hAnsi="Times New Roman" w:eastAsia="宋体"/>
                <w:bCs/>
                <w:sz w:val="24"/>
                <w:szCs w:val="24"/>
              </w:rPr>
              <w:t>序号</w:t>
            </w:r>
          </w:p>
        </w:tc>
        <w:tc>
          <w:tcPr>
            <w:tcW w:w="497" w:type="pct"/>
            <w:vMerge w:val="restart"/>
            <w:vAlign w:val="center"/>
          </w:tcPr>
          <w:p w14:paraId="4ADE4D1B">
            <w:pPr>
              <w:jc w:val="center"/>
              <w:rPr>
                <w:rFonts w:ascii="Times New Roman" w:hAnsi="Times New Roman" w:eastAsia="宋体"/>
                <w:bCs/>
                <w:sz w:val="24"/>
                <w:szCs w:val="24"/>
              </w:rPr>
            </w:pPr>
            <w:r>
              <w:rPr>
                <w:rFonts w:ascii="Times New Roman" w:hAnsi="Times New Roman" w:eastAsia="宋体"/>
                <w:bCs/>
                <w:sz w:val="24"/>
                <w:szCs w:val="24"/>
              </w:rPr>
              <w:t>单位</w:t>
            </w:r>
          </w:p>
        </w:tc>
        <w:tc>
          <w:tcPr>
            <w:tcW w:w="1878" w:type="pct"/>
            <w:gridSpan w:val="3"/>
            <w:vAlign w:val="center"/>
          </w:tcPr>
          <w:p w14:paraId="4DB81A98">
            <w:pPr>
              <w:jc w:val="center"/>
              <w:rPr>
                <w:rFonts w:ascii="Times New Roman" w:hAnsi="Times New Roman" w:eastAsia="宋体"/>
                <w:bCs/>
                <w:sz w:val="24"/>
                <w:szCs w:val="24"/>
              </w:rPr>
            </w:pPr>
            <w:r>
              <w:rPr>
                <w:rFonts w:ascii="Times New Roman" w:hAnsi="Times New Roman" w:eastAsia="宋体"/>
                <w:bCs/>
                <w:sz w:val="24"/>
                <w:szCs w:val="24"/>
              </w:rPr>
              <w:t>应急队伍数量（人）</w:t>
            </w:r>
          </w:p>
        </w:tc>
        <w:tc>
          <w:tcPr>
            <w:tcW w:w="554" w:type="pct"/>
            <w:vMerge w:val="restart"/>
            <w:vAlign w:val="center"/>
          </w:tcPr>
          <w:p w14:paraId="6353D8B4">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责任人</w:t>
            </w:r>
          </w:p>
        </w:tc>
        <w:tc>
          <w:tcPr>
            <w:tcW w:w="1065" w:type="pct"/>
            <w:vMerge w:val="restart"/>
            <w:vAlign w:val="center"/>
          </w:tcPr>
          <w:p w14:paraId="4B75DB0F">
            <w:pPr>
              <w:widowControl/>
              <w:jc w:val="center"/>
              <w:textAlignment w:val="center"/>
              <w:rPr>
                <w:rFonts w:ascii="Times New Roman" w:hAnsi="Times New Roman" w:eastAsia="宋体"/>
                <w:bCs/>
                <w:kern w:val="0"/>
                <w:sz w:val="24"/>
                <w:szCs w:val="24"/>
              </w:rPr>
            </w:pPr>
            <w:r>
              <w:rPr>
                <w:rFonts w:ascii="Times New Roman" w:hAnsi="Times New Roman" w:eastAsia="宋体"/>
                <w:bCs/>
                <w:kern w:val="0"/>
                <w:sz w:val="24"/>
                <w:szCs w:val="24"/>
              </w:rPr>
              <w:t>联系</w:t>
            </w:r>
          </w:p>
          <w:p w14:paraId="2EC69FD1">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电话</w:t>
            </w:r>
          </w:p>
        </w:tc>
        <w:tc>
          <w:tcPr>
            <w:tcW w:w="707" w:type="pct"/>
            <w:vMerge w:val="restart"/>
            <w:vAlign w:val="center"/>
          </w:tcPr>
          <w:p w14:paraId="3B373BF5">
            <w:pPr>
              <w:spacing w:line="500" w:lineRule="exact"/>
              <w:jc w:val="center"/>
              <w:rPr>
                <w:rFonts w:ascii="Times New Roman" w:hAnsi="Times New Roman" w:eastAsia="宋体"/>
                <w:sz w:val="24"/>
                <w:szCs w:val="24"/>
              </w:rPr>
            </w:pPr>
            <w:r>
              <w:rPr>
                <w:rFonts w:ascii="Times New Roman" w:hAnsi="Times New Roman" w:eastAsia="宋体"/>
                <w:bCs/>
                <w:sz w:val="24"/>
                <w:szCs w:val="24"/>
              </w:rPr>
              <w:t>备注</w:t>
            </w:r>
          </w:p>
        </w:tc>
      </w:tr>
      <w:tr w14:paraId="41519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 w:type="pct"/>
            <w:vMerge w:val="continue"/>
            <w:vAlign w:val="center"/>
          </w:tcPr>
          <w:p w14:paraId="781133FE">
            <w:pPr>
              <w:spacing w:line="500" w:lineRule="exact"/>
              <w:jc w:val="center"/>
              <w:rPr>
                <w:rFonts w:ascii="Times New Roman" w:hAnsi="Times New Roman" w:eastAsia="宋体"/>
                <w:bCs/>
                <w:sz w:val="24"/>
                <w:szCs w:val="24"/>
              </w:rPr>
            </w:pPr>
          </w:p>
        </w:tc>
        <w:tc>
          <w:tcPr>
            <w:tcW w:w="497" w:type="pct"/>
            <w:vMerge w:val="continue"/>
            <w:vAlign w:val="center"/>
          </w:tcPr>
          <w:p w14:paraId="350B45E7">
            <w:pPr>
              <w:spacing w:line="500" w:lineRule="exact"/>
              <w:jc w:val="center"/>
              <w:rPr>
                <w:rFonts w:ascii="Times New Roman" w:hAnsi="Times New Roman" w:eastAsia="宋体"/>
                <w:bCs/>
                <w:sz w:val="24"/>
                <w:szCs w:val="24"/>
              </w:rPr>
            </w:pPr>
          </w:p>
        </w:tc>
        <w:tc>
          <w:tcPr>
            <w:tcW w:w="431" w:type="pct"/>
            <w:vAlign w:val="center"/>
          </w:tcPr>
          <w:p w14:paraId="3A9B44E7">
            <w:pPr>
              <w:spacing w:line="500" w:lineRule="exact"/>
              <w:jc w:val="center"/>
              <w:rPr>
                <w:rFonts w:ascii="Times New Roman" w:hAnsi="Times New Roman" w:eastAsia="宋体"/>
                <w:bCs/>
                <w:sz w:val="24"/>
                <w:szCs w:val="24"/>
              </w:rPr>
            </w:pPr>
            <w:r>
              <w:rPr>
                <w:rFonts w:ascii="Times New Roman" w:hAnsi="Times New Roman" w:eastAsia="宋体"/>
                <w:bCs/>
                <w:sz w:val="24"/>
                <w:szCs w:val="24"/>
              </w:rPr>
              <w:t>合计</w:t>
            </w:r>
          </w:p>
        </w:tc>
        <w:tc>
          <w:tcPr>
            <w:tcW w:w="705" w:type="pct"/>
            <w:vAlign w:val="center"/>
          </w:tcPr>
          <w:p w14:paraId="3EBF675A">
            <w:pPr>
              <w:spacing w:line="500" w:lineRule="exact"/>
              <w:jc w:val="center"/>
              <w:rPr>
                <w:rFonts w:ascii="Times New Roman" w:hAnsi="Times New Roman" w:eastAsia="宋体"/>
                <w:bCs/>
                <w:sz w:val="24"/>
                <w:szCs w:val="24"/>
              </w:rPr>
            </w:pPr>
            <w:r>
              <w:rPr>
                <w:rFonts w:ascii="Times New Roman" w:hAnsi="Times New Roman" w:eastAsia="宋体"/>
                <w:bCs/>
                <w:sz w:val="24"/>
                <w:szCs w:val="24"/>
              </w:rPr>
              <w:t>机关队伍</w:t>
            </w:r>
          </w:p>
        </w:tc>
        <w:tc>
          <w:tcPr>
            <w:tcW w:w="741" w:type="pct"/>
            <w:vAlign w:val="center"/>
          </w:tcPr>
          <w:p w14:paraId="0730BC84">
            <w:pPr>
              <w:spacing w:line="500" w:lineRule="exact"/>
              <w:jc w:val="center"/>
              <w:rPr>
                <w:rFonts w:ascii="Times New Roman" w:hAnsi="Times New Roman" w:eastAsia="宋体"/>
                <w:bCs/>
                <w:sz w:val="24"/>
                <w:szCs w:val="24"/>
              </w:rPr>
            </w:pPr>
            <w:r>
              <w:rPr>
                <w:rFonts w:ascii="Times New Roman" w:hAnsi="Times New Roman" w:eastAsia="宋体"/>
                <w:bCs/>
                <w:sz w:val="24"/>
                <w:szCs w:val="24"/>
              </w:rPr>
              <w:t>村居队伍</w:t>
            </w:r>
          </w:p>
        </w:tc>
        <w:tc>
          <w:tcPr>
            <w:tcW w:w="554" w:type="pct"/>
            <w:vMerge w:val="continue"/>
            <w:vAlign w:val="center"/>
          </w:tcPr>
          <w:p w14:paraId="2A64025F">
            <w:pPr>
              <w:spacing w:line="500" w:lineRule="exact"/>
              <w:jc w:val="center"/>
              <w:rPr>
                <w:rFonts w:ascii="Times New Roman" w:hAnsi="Times New Roman" w:eastAsia="宋体"/>
                <w:sz w:val="24"/>
                <w:szCs w:val="24"/>
              </w:rPr>
            </w:pPr>
          </w:p>
        </w:tc>
        <w:tc>
          <w:tcPr>
            <w:tcW w:w="1065" w:type="pct"/>
            <w:vMerge w:val="continue"/>
            <w:vAlign w:val="center"/>
          </w:tcPr>
          <w:p w14:paraId="37758714">
            <w:pPr>
              <w:spacing w:line="500" w:lineRule="exact"/>
              <w:jc w:val="center"/>
              <w:rPr>
                <w:rFonts w:ascii="Times New Roman" w:hAnsi="Times New Roman" w:eastAsia="宋体"/>
                <w:sz w:val="24"/>
                <w:szCs w:val="24"/>
              </w:rPr>
            </w:pPr>
          </w:p>
        </w:tc>
        <w:tc>
          <w:tcPr>
            <w:tcW w:w="707" w:type="pct"/>
            <w:vMerge w:val="continue"/>
            <w:vAlign w:val="center"/>
          </w:tcPr>
          <w:p w14:paraId="1E657223">
            <w:pPr>
              <w:spacing w:line="500" w:lineRule="exact"/>
              <w:jc w:val="center"/>
              <w:rPr>
                <w:rFonts w:ascii="Times New Roman" w:hAnsi="Times New Roman" w:eastAsia="宋体"/>
                <w:sz w:val="24"/>
                <w:szCs w:val="24"/>
              </w:rPr>
            </w:pPr>
          </w:p>
        </w:tc>
      </w:tr>
      <w:tr w14:paraId="142B5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298" w:type="pct"/>
            <w:vAlign w:val="center"/>
          </w:tcPr>
          <w:p w14:paraId="64060725">
            <w:pPr>
              <w:spacing w:line="500" w:lineRule="exact"/>
              <w:jc w:val="center"/>
              <w:rPr>
                <w:rFonts w:ascii="Times New Roman" w:hAnsi="Times New Roman" w:eastAsia="宋体"/>
                <w:sz w:val="24"/>
                <w:szCs w:val="24"/>
              </w:rPr>
            </w:pPr>
            <w:r>
              <w:rPr>
                <w:rFonts w:ascii="Times New Roman" w:hAnsi="Times New Roman" w:eastAsia="宋体"/>
                <w:sz w:val="24"/>
                <w:szCs w:val="24"/>
              </w:rPr>
              <w:t>1</w:t>
            </w:r>
          </w:p>
        </w:tc>
        <w:tc>
          <w:tcPr>
            <w:tcW w:w="497" w:type="pct"/>
            <w:vAlign w:val="center"/>
          </w:tcPr>
          <w:p w14:paraId="0E90158C">
            <w:pPr>
              <w:spacing w:line="500" w:lineRule="exact"/>
              <w:jc w:val="center"/>
              <w:rPr>
                <w:rFonts w:ascii="Times New Roman" w:hAnsi="Times New Roman" w:eastAsia="宋体"/>
                <w:sz w:val="24"/>
                <w:szCs w:val="24"/>
              </w:rPr>
            </w:pPr>
            <w:r>
              <w:rPr>
                <w:rFonts w:ascii="Times New Roman" w:hAnsi="Times New Roman" w:eastAsia="宋体"/>
                <w:sz w:val="24"/>
                <w:szCs w:val="24"/>
              </w:rPr>
              <w:t>朝阳</w:t>
            </w:r>
          </w:p>
          <w:p w14:paraId="523C83C6">
            <w:pPr>
              <w:spacing w:line="500" w:lineRule="exact"/>
              <w:jc w:val="center"/>
              <w:rPr>
                <w:rFonts w:ascii="Times New Roman" w:hAnsi="Times New Roman" w:eastAsia="宋体"/>
                <w:sz w:val="24"/>
                <w:szCs w:val="24"/>
              </w:rPr>
            </w:pPr>
            <w:r>
              <w:rPr>
                <w:rFonts w:ascii="Times New Roman" w:hAnsi="Times New Roman" w:eastAsia="宋体"/>
                <w:sz w:val="24"/>
                <w:szCs w:val="24"/>
              </w:rPr>
              <w:t>街道</w:t>
            </w:r>
          </w:p>
        </w:tc>
        <w:tc>
          <w:tcPr>
            <w:tcW w:w="431" w:type="pct"/>
            <w:vAlign w:val="center"/>
          </w:tcPr>
          <w:p w14:paraId="78B33170">
            <w:pPr>
              <w:spacing w:line="500" w:lineRule="exact"/>
              <w:jc w:val="center"/>
              <w:rPr>
                <w:rFonts w:ascii="Times New Roman" w:hAnsi="Times New Roman" w:eastAsia="宋体"/>
                <w:sz w:val="24"/>
                <w:szCs w:val="24"/>
              </w:rPr>
            </w:pPr>
            <w:r>
              <w:rPr>
                <w:rFonts w:ascii="Times New Roman" w:hAnsi="Times New Roman" w:eastAsia="宋体"/>
                <w:sz w:val="24"/>
                <w:szCs w:val="24"/>
              </w:rPr>
              <w:t>382</w:t>
            </w:r>
          </w:p>
        </w:tc>
        <w:tc>
          <w:tcPr>
            <w:tcW w:w="705" w:type="pct"/>
            <w:vAlign w:val="center"/>
          </w:tcPr>
          <w:p w14:paraId="1E464358">
            <w:pPr>
              <w:spacing w:line="500" w:lineRule="exact"/>
              <w:jc w:val="center"/>
              <w:rPr>
                <w:rFonts w:ascii="Times New Roman" w:hAnsi="Times New Roman" w:eastAsia="宋体"/>
                <w:sz w:val="24"/>
                <w:szCs w:val="24"/>
              </w:rPr>
            </w:pPr>
            <w:r>
              <w:rPr>
                <w:rFonts w:ascii="Times New Roman" w:hAnsi="Times New Roman" w:eastAsia="宋体"/>
                <w:sz w:val="24"/>
                <w:szCs w:val="24"/>
              </w:rPr>
              <w:t>37</w:t>
            </w:r>
          </w:p>
        </w:tc>
        <w:tc>
          <w:tcPr>
            <w:tcW w:w="741" w:type="pct"/>
            <w:vAlign w:val="center"/>
          </w:tcPr>
          <w:p w14:paraId="34688F24">
            <w:pPr>
              <w:spacing w:line="500" w:lineRule="exact"/>
              <w:jc w:val="center"/>
              <w:rPr>
                <w:rFonts w:ascii="Times New Roman" w:hAnsi="Times New Roman" w:eastAsia="宋体"/>
                <w:sz w:val="24"/>
                <w:szCs w:val="24"/>
              </w:rPr>
            </w:pPr>
            <w:r>
              <w:rPr>
                <w:rFonts w:ascii="Times New Roman" w:hAnsi="Times New Roman" w:eastAsia="宋体"/>
                <w:sz w:val="24"/>
                <w:szCs w:val="24"/>
              </w:rPr>
              <w:t>345</w:t>
            </w:r>
          </w:p>
        </w:tc>
        <w:tc>
          <w:tcPr>
            <w:tcW w:w="554" w:type="pct"/>
            <w:vAlign w:val="center"/>
          </w:tcPr>
          <w:p w14:paraId="6B08436E">
            <w:pPr>
              <w:spacing w:line="500" w:lineRule="exact"/>
              <w:jc w:val="center"/>
              <w:rPr>
                <w:rFonts w:ascii="Times New Roman" w:hAnsi="Times New Roman" w:eastAsia="宋体"/>
                <w:sz w:val="24"/>
                <w:szCs w:val="24"/>
              </w:rPr>
            </w:pPr>
            <w:r>
              <w:rPr>
                <w:rFonts w:ascii="Times New Roman" w:hAnsi="Times New Roman" w:eastAsia="宋体"/>
                <w:kern w:val="0"/>
                <w:sz w:val="24"/>
                <w:szCs w:val="24"/>
              </w:rPr>
              <w:t>赵  军</w:t>
            </w:r>
          </w:p>
        </w:tc>
        <w:tc>
          <w:tcPr>
            <w:tcW w:w="1065" w:type="pct"/>
            <w:vAlign w:val="center"/>
          </w:tcPr>
          <w:p w14:paraId="707CF43B">
            <w:pPr>
              <w:spacing w:line="500" w:lineRule="exact"/>
              <w:jc w:val="center"/>
              <w:rPr>
                <w:rFonts w:ascii="Times New Roman" w:hAnsi="Times New Roman" w:eastAsia="宋体"/>
                <w:sz w:val="24"/>
                <w:szCs w:val="24"/>
              </w:rPr>
            </w:pPr>
            <w:r>
              <w:rPr>
                <w:rFonts w:ascii="Times New Roman" w:hAnsi="Times New Roman" w:eastAsia="宋体"/>
                <w:sz w:val="24"/>
                <w:szCs w:val="24"/>
              </w:rPr>
              <w:t>13912166091</w:t>
            </w:r>
          </w:p>
        </w:tc>
        <w:tc>
          <w:tcPr>
            <w:tcW w:w="707" w:type="pct"/>
            <w:vAlign w:val="center"/>
          </w:tcPr>
          <w:p w14:paraId="4A7DBA33">
            <w:pPr>
              <w:spacing w:line="500" w:lineRule="exact"/>
              <w:jc w:val="center"/>
              <w:rPr>
                <w:rFonts w:ascii="Times New Roman" w:hAnsi="Times New Roman" w:eastAsia="宋体"/>
                <w:sz w:val="24"/>
                <w:szCs w:val="24"/>
              </w:rPr>
            </w:pPr>
          </w:p>
        </w:tc>
      </w:tr>
      <w:tr w14:paraId="552C5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98" w:type="pct"/>
            <w:vAlign w:val="center"/>
          </w:tcPr>
          <w:p w14:paraId="7A2DFF10">
            <w:pPr>
              <w:spacing w:line="500" w:lineRule="exact"/>
              <w:jc w:val="center"/>
              <w:rPr>
                <w:rFonts w:ascii="Times New Roman" w:hAnsi="Times New Roman" w:eastAsia="宋体"/>
                <w:sz w:val="24"/>
                <w:szCs w:val="24"/>
              </w:rPr>
            </w:pPr>
            <w:r>
              <w:rPr>
                <w:rFonts w:ascii="Times New Roman" w:hAnsi="Times New Roman" w:eastAsia="宋体"/>
                <w:sz w:val="24"/>
                <w:szCs w:val="24"/>
              </w:rPr>
              <w:t>2</w:t>
            </w:r>
          </w:p>
        </w:tc>
        <w:tc>
          <w:tcPr>
            <w:tcW w:w="497" w:type="pct"/>
            <w:vAlign w:val="center"/>
          </w:tcPr>
          <w:p w14:paraId="03DB8266">
            <w:pPr>
              <w:spacing w:line="500" w:lineRule="exact"/>
              <w:jc w:val="center"/>
              <w:rPr>
                <w:rFonts w:ascii="Times New Roman" w:hAnsi="Times New Roman" w:eastAsia="宋体"/>
                <w:sz w:val="24"/>
                <w:szCs w:val="24"/>
              </w:rPr>
            </w:pPr>
            <w:r>
              <w:rPr>
                <w:rFonts w:ascii="Times New Roman" w:hAnsi="Times New Roman" w:eastAsia="宋体"/>
                <w:sz w:val="24"/>
                <w:szCs w:val="24"/>
              </w:rPr>
              <w:t>中云</w:t>
            </w:r>
          </w:p>
          <w:p w14:paraId="4C802F14">
            <w:pPr>
              <w:spacing w:line="500" w:lineRule="exact"/>
              <w:jc w:val="center"/>
              <w:rPr>
                <w:rFonts w:ascii="Times New Roman" w:hAnsi="Times New Roman" w:eastAsia="宋体"/>
                <w:sz w:val="24"/>
                <w:szCs w:val="24"/>
              </w:rPr>
            </w:pPr>
            <w:r>
              <w:rPr>
                <w:rFonts w:ascii="Times New Roman" w:hAnsi="Times New Roman" w:eastAsia="宋体"/>
                <w:sz w:val="24"/>
                <w:szCs w:val="24"/>
              </w:rPr>
              <w:t>街道</w:t>
            </w:r>
          </w:p>
        </w:tc>
        <w:tc>
          <w:tcPr>
            <w:tcW w:w="431" w:type="pct"/>
            <w:vAlign w:val="center"/>
          </w:tcPr>
          <w:p w14:paraId="397B71C4">
            <w:pPr>
              <w:spacing w:line="500" w:lineRule="exact"/>
              <w:jc w:val="center"/>
              <w:rPr>
                <w:rFonts w:ascii="Times New Roman" w:hAnsi="Times New Roman" w:eastAsia="宋体"/>
                <w:sz w:val="24"/>
                <w:szCs w:val="24"/>
              </w:rPr>
            </w:pPr>
            <w:r>
              <w:rPr>
                <w:rFonts w:ascii="Times New Roman" w:hAnsi="Times New Roman" w:eastAsia="宋体"/>
                <w:sz w:val="24"/>
                <w:szCs w:val="24"/>
              </w:rPr>
              <w:t>450</w:t>
            </w:r>
          </w:p>
        </w:tc>
        <w:tc>
          <w:tcPr>
            <w:tcW w:w="705" w:type="pct"/>
            <w:vAlign w:val="center"/>
          </w:tcPr>
          <w:p w14:paraId="6401B5F8">
            <w:pPr>
              <w:spacing w:line="500" w:lineRule="exact"/>
              <w:jc w:val="center"/>
              <w:rPr>
                <w:rFonts w:ascii="Times New Roman" w:hAnsi="Times New Roman" w:eastAsia="宋体"/>
                <w:sz w:val="24"/>
                <w:szCs w:val="24"/>
              </w:rPr>
            </w:pPr>
            <w:r>
              <w:rPr>
                <w:rFonts w:ascii="Times New Roman" w:hAnsi="Times New Roman" w:eastAsia="宋体"/>
                <w:sz w:val="24"/>
                <w:szCs w:val="24"/>
              </w:rPr>
              <w:t>19</w:t>
            </w:r>
          </w:p>
        </w:tc>
        <w:tc>
          <w:tcPr>
            <w:tcW w:w="741" w:type="pct"/>
            <w:vAlign w:val="center"/>
          </w:tcPr>
          <w:p w14:paraId="6260DF2D">
            <w:pPr>
              <w:spacing w:line="500" w:lineRule="exact"/>
              <w:jc w:val="center"/>
              <w:rPr>
                <w:rFonts w:ascii="Times New Roman" w:hAnsi="Times New Roman" w:eastAsia="宋体"/>
                <w:sz w:val="24"/>
                <w:szCs w:val="24"/>
              </w:rPr>
            </w:pPr>
            <w:r>
              <w:rPr>
                <w:rFonts w:ascii="Times New Roman" w:hAnsi="Times New Roman" w:eastAsia="宋体"/>
                <w:sz w:val="24"/>
                <w:szCs w:val="24"/>
              </w:rPr>
              <w:t>431</w:t>
            </w:r>
          </w:p>
        </w:tc>
        <w:tc>
          <w:tcPr>
            <w:tcW w:w="554" w:type="pct"/>
            <w:vAlign w:val="center"/>
          </w:tcPr>
          <w:p w14:paraId="4301A86C">
            <w:pPr>
              <w:spacing w:line="500" w:lineRule="exact"/>
              <w:jc w:val="center"/>
              <w:rPr>
                <w:rFonts w:ascii="Times New Roman" w:hAnsi="Times New Roman" w:eastAsia="宋体"/>
                <w:sz w:val="24"/>
                <w:szCs w:val="24"/>
              </w:rPr>
            </w:pPr>
            <w:r>
              <w:rPr>
                <w:rFonts w:ascii="Times New Roman" w:hAnsi="Times New Roman" w:eastAsia="宋体"/>
                <w:sz w:val="24"/>
                <w:szCs w:val="24"/>
              </w:rPr>
              <w:t>吉文军</w:t>
            </w:r>
          </w:p>
        </w:tc>
        <w:tc>
          <w:tcPr>
            <w:tcW w:w="1065" w:type="pct"/>
            <w:vAlign w:val="center"/>
          </w:tcPr>
          <w:p w14:paraId="43573362">
            <w:pPr>
              <w:spacing w:line="500" w:lineRule="exact"/>
              <w:jc w:val="center"/>
              <w:rPr>
                <w:rFonts w:ascii="Times New Roman" w:hAnsi="Times New Roman" w:eastAsia="宋体"/>
                <w:sz w:val="24"/>
                <w:szCs w:val="24"/>
              </w:rPr>
            </w:pPr>
            <w:r>
              <w:rPr>
                <w:rFonts w:ascii="Times New Roman" w:hAnsi="Times New Roman" w:eastAsia="宋体"/>
                <w:sz w:val="24"/>
                <w:szCs w:val="24"/>
              </w:rPr>
              <w:t>13186605113</w:t>
            </w:r>
          </w:p>
        </w:tc>
        <w:tc>
          <w:tcPr>
            <w:tcW w:w="707" w:type="pct"/>
            <w:vAlign w:val="center"/>
          </w:tcPr>
          <w:p w14:paraId="0669CA0F">
            <w:pPr>
              <w:spacing w:line="500" w:lineRule="exact"/>
              <w:jc w:val="center"/>
              <w:rPr>
                <w:rFonts w:ascii="Times New Roman" w:hAnsi="Times New Roman" w:eastAsia="宋体"/>
                <w:sz w:val="24"/>
                <w:szCs w:val="24"/>
              </w:rPr>
            </w:pPr>
          </w:p>
        </w:tc>
      </w:tr>
      <w:tr w14:paraId="59E9E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98" w:type="pct"/>
            <w:vAlign w:val="center"/>
          </w:tcPr>
          <w:p w14:paraId="448A1439">
            <w:pPr>
              <w:spacing w:line="500" w:lineRule="exact"/>
              <w:jc w:val="center"/>
              <w:rPr>
                <w:rFonts w:ascii="Times New Roman" w:hAnsi="Times New Roman" w:eastAsia="宋体"/>
                <w:sz w:val="24"/>
                <w:szCs w:val="24"/>
              </w:rPr>
            </w:pPr>
            <w:r>
              <w:rPr>
                <w:rFonts w:ascii="Times New Roman" w:hAnsi="Times New Roman" w:eastAsia="宋体"/>
                <w:sz w:val="24"/>
                <w:szCs w:val="24"/>
              </w:rPr>
              <w:t>3</w:t>
            </w:r>
          </w:p>
        </w:tc>
        <w:tc>
          <w:tcPr>
            <w:tcW w:w="497" w:type="pct"/>
            <w:vAlign w:val="center"/>
          </w:tcPr>
          <w:p w14:paraId="5DA73CF3">
            <w:pPr>
              <w:spacing w:line="500" w:lineRule="exact"/>
              <w:jc w:val="center"/>
              <w:rPr>
                <w:rFonts w:ascii="Times New Roman" w:hAnsi="Times New Roman" w:eastAsia="宋体"/>
                <w:sz w:val="24"/>
                <w:szCs w:val="24"/>
              </w:rPr>
            </w:pPr>
            <w:r>
              <w:rPr>
                <w:rFonts w:ascii="Times New Roman" w:hAnsi="Times New Roman" w:eastAsia="宋体"/>
                <w:sz w:val="24"/>
                <w:szCs w:val="24"/>
              </w:rPr>
              <w:t>猴嘴</w:t>
            </w:r>
          </w:p>
          <w:p w14:paraId="5FCD8513">
            <w:pPr>
              <w:spacing w:line="500" w:lineRule="exact"/>
              <w:jc w:val="center"/>
              <w:rPr>
                <w:rFonts w:ascii="Times New Roman" w:hAnsi="Times New Roman" w:eastAsia="宋体"/>
                <w:sz w:val="24"/>
                <w:szCs w:val="24"/>
              </w:rPr>
            </w:pPr>
            <w:r>
              <w:rPr>
                <w:rFonts w:ascii="Times New Roman" w:hAnsi="Times New Roman" w:eastAsia="宋体"/>
                <w:sz w:val="24"/>
                <w:szCs w:val="24"/>
              </w:rPr>
              <w:t>街道</w:t>
            </w:r>
          </w:p>
        </w:tc>
        <w:tc>
          <w:tcPr>
            <w:tcW w:w="431" w:type="pct"/>
            <w:vAlign w:val="center"/>
          </w:tcPr>
          <w:p w14:paraId="11CE87EA">
            <w:pPr>
              <w:spacing w:line="500" w:lineRule="exact"/>
              <w:jc w:val="center"/>
              <w:rPr>
                <w:rFonts w:ascii="Times New Roman" w:hAnsi="Times New Roman" w:eastAsia="宋体"/>
                <w:sz w:val="24"/>
                <w:szCs w:val="24"/>
              </w:rPr>
            </w:pPr>
            <w:r>
              <w:rPr>
                <w:rFonts w:ascii="Times New Roman" w:hAnsi="Times New Roman" w:eastAsia="宋体"/>
                <w:sz w:val="24"/>
                <w:szCs w:val="24"/>
              </w:rPr>
              <w:t>63</w:t>
            </w:r>
          </w:p>
        </w:tc>
        <w:tc>
          <w:tcPr>
            <w:tcW w:w="705" w:type="pct"/>
            <w:vAlign w:val="center"/>
          </w:tcPr>
          <w:p w14:paraId="321C39A8">
            <w:pPr>
              <w:spacing w:line="500" w:lineRule="exact"/>
              <w:jc w:val="center"/>
              <w:rPr>
                <w:rFonts w:ascii="Times New Roman" w:hAnsi="Times New Roman" w:eastAsia="宋体"/>
                <w:sz w:val="24"/>
                <w:szCs w:val="24"/>
              </w:rPr>
            </w:pPr>
            <w:r>
              <w:rPr>
                <w:rFonts w:ascii="Times New Roman" w:hAnsi="Times New Roman" w:eastAsia="宋体"/>
                <w:sz w:val="24"/>
                <w:szCs w:val="24"/>
              </w:rPr>
              <w:t>63</w:t>
            </w:r>
          </w:p>
        </w:tc>
        <w:tc>
          <w:tcPr>
            <w:tcW w:w="741" w:type="pct"/>
            <w:vAlign w:val="center"/>
          </w:tcPr>
          <w:p w14:paraId="00362E85">
            <w:pPr>
              <w:spacing w:line="500" w:lineRule="exact"/>
              <w:jc w:val="center"/>
              <w:rPr>
                <w:rFonts w:ascii="Times New Roman" w:hAnsi="Times New Roman" w:eastAsia="宋体"/>
                <w:sz w:val="24"/>
                <w:szCs w:val="24"/>
              </w:rPr>
            </w:pPr>
            <w:r>
              <w:rPr>
                <w:rFonts w:ascii="Times New Roman" w:hAnsi="Times New Roman" w:eastAsia="宋体"/>
                <w:sz w:val="24"/>
                <w:szCs w:val="24"/>
              </w:rPr>
              <w:t>——</w:t>
            </w:r>
          </w:p>
        </w:tc>
        <w:tc>
          <w:tcPr>
            <w:tcW w:w="554" w:type="pct"/>
            <w:vAlign w:val="center"/>
          </w:tcPr>
          <w:p w14:paraId="7CAA9E00">
            <w:pPr>
              <w:spacing w:line="500" w:lineRule="exact"/>
              <w:jc w:val="center"/>
              <w:rPr>
                <w:rFonts w:ascii="Times New Roman" w:hAnsi="Times New Roman" w:eastAsia="宋体"/>
                <w:sz w:val="24"/>
                <w:szCs w:val="24"/>
              </w:rPr>
            </w:pPr>
            <w:r>
              <w:rPr>
                <w:rFonts w:ascii="Times New Roman" w:hAnsi="Times New Roman" w:eastAsia="宋体"/>
                <w:sz w:val="24"/>
                <w:szCs w:val="24"/>
              </w:rPr>
              <w:t>李  永</w:t>
            </w:r>
          </w:p>
        </w:tc>
        <w:tc>
          <w:tcPr>
            <w:tcW w:w="1065" w:type="pct"/>
            <w:vAlign w:val="center"/>
          </w:tcPr>
          <w:p w14:paraId="31ABD8AA">
            <w:pPr>
              <w:spacing w:line="500" w:lineRule="exact"/>
              <w:jc w:val="center"/>
              <w:rPr>
                <w:rFonts w:ascii="Times New Roman" w:hAnsi="Times New Roman" w:eastAsia="宋体"/>
                <w:sz w:val="24"/>
                <w:szCs w:val="24"/>
              </w:rPr>
            </w:pPr>
            <w:r>
              <w:rPr>
                <w:rFonts w:ascii="Times New Roman" w:hAnsi="Times New Roman" w:eastAsia="宋体"/>
                <w:sz w:val="24"/>
                <w:szCs w:val="24"/>
              </w:rPr>
              <w:t>13805135366</w:t>
            </w:r>
          </w:p>
        </w:tc>
        <w:tc>
          <w:tcPr>
            <w:tcW w:w="707" w:type="pct"/>
            <w:vAlign w:val="center"/>
          </w:tcPr>
          <w:p w14:paraId="1FACB690">
            <w:pPr>
              <w:spacing w:line="500" w:lineRule="exact"/>
              <w:jc w:val="center"/>
              <w:rPr>
                <w:rFonts w:ascii="Times New Roman" w:hAnsi="Times New Roman" w:eastAsia="宋体"/>
                <w:sz w:val="24"/>
                <w:szCs w:val="24"/>
              </w:rPr>
            </w:pPr>
          </w:p>
        </w:tc>
      </w:tr>
      <w:tr w14:paraId="502E4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98" w:type="pct"/>
            <w:vAlign w:val="center"/>
          </w:tcPr>
          <w:p w14:paraId="74C4AD64">
            <w:pPr>
              <w:spacing w:line="500" w:lineRule="exact"/>
              <w:jc w:val="center"/>
              <w:rPr>
                <w:rFonts w:ascii="Times New Roman" w:hAnsi="Times New Roman" w:eastAsia="宋体"/>
                <w:sz w:val="24"/>
                <w:szCs w:val="24"/>
              </w:rPr>
            </w:pPr>
            <w:r>
              <w:rPr>
                <w:rFonts w:ascii="Times New Roman" w:hAnsi="Times New Roman" w:eastAsia="宋体"/>
                <w:sz w:val="24"/>
                <w:szCs w:val="24"/>
              </w:rPr>
              <w:t>4</w:t>
            </w:r>
          </w:p>
        </w:tc>
        <w:tc>
          <w:tcPr>
            <w:tcW w:w="497" w:type="pct"/>
            <w:vAlign w:val="center"/>
          </w:tcPr>
          <w:p w14:paraId="5066278C">
            <w:pPr>
              <w:spacing w:line="500" w:lineRule="exact"/>
              <w:jc w:val="center"/>
              <w:rPr>
                <w:rFonts w:ascii="Times New Roman" w:hAnsi="Times New Roman" w:eastAsia="宋体"/>
                <w:sz w:val="24"/>
                <w:szCs w:val="24"/>
              </w:rPr>
            </w:pPr>
            <w:r>
              <w:rPr>
                <w:rFonts w:ascii="Times New Roman" w:hAnsi="Times New Roman" w:eastAsia="宋体"/>
                <w:sz w:val="24"/>
                <w:szCs w:val="24"/>
              </w:rPr>
              <w:t>区住</w:t>
            </w:r>
          </w:p>
          <w:p w14:paraId="1A967B75">
            <w:pPr>
              <w:spacing w:line="500" w:lineRule="exact"/>
              <w:jc w:val="center"/>
              <w:rPr>
                <w:rFonts w:ascii="Times New Roman" w:hAnsi="Times New Roman" w:eastAsia="宋体"/>
                <w:sz w:val="24"/>
                <w:szCs w:val="24"/>
              </w:rPr>
            </w:pPr>
            <w:r>
              <w:rPr>
                <w:rFonts w:ascii="Times New Roman" w:hAnsi="Times New Roman" w:eastAsia="宋体"/>
                <w:sz w:val="24"/>
                <w:szCs w:val="24"/>
              </w:rPr>
              <w:t>建局</w:t>
            </w:r>
          </w:p>
        </w:tc>
        <w:tc>
          <w:tcPr>
            <w:tcW w:w="431" w:type="pct"/>
            <w:vAlign w:val="center"/>
          </w:tcPr>
          <w:p w14:paraId="77DC7399">
            <w:pPr>
              <w:spacing w:line="500" w:lineRule="exact"/>
              <w:jc w:val="center"/>
              <w:rPr>
                <w:rFonts w:ascii="Times New Roman" w:hAnsi="Times New Roman" w:eastAsia="宋体"/>
                <w:sz w:val="24"/>
                <w:szCs w:val="24"/>
              </w:rPr>
            </w:pPr>
            <w:r>
              <w:rPr>
                <w:rFonts w:ascii="Times New Roman" w:hAnsi="Times New Roman" w:eastAsia="宋体"/>
                <w:sz w:val="24"/>
                <w:szCs w:val="24"/>
              </w:rPr>
              <w:t>100</w:t>
            </w:r>
          </w:p>
        </w:tc>
        <w:tc>
          <w:tcPr>
            <w:tcW w:w="705" w:type="pct"/>
            <w:vAlign w:val="center"/>
          </w:tcPr>
          <w:p w14:paraId="300A0C06">
            <w:pPr>
              <w:spacing w:line="500" w:lineRule="exact"/>
              <w:jc w:val="center"/>
              <w:rPr>
                <w:rFonts w:ascii="Times New Roman" w:hAnsi="Times New Roman" w:eastAsia="宋体"/>
                <w:sz w:val="24"/>
                <w:szCs w:val="24"/>
              </w:rPr>
            </w:pPr>
            <w:r>
              <w:rPr>
                <w:rFonts w:ascii="Times New Roman" w:hAnsi="Times New Roman" w:eastAsia="宋体"/>
                <w:sz w:val="24"/>
                <w:szCs w:val="24"/>
              </w:rPr>
              <w:t>100</w:t>
            </w:r>
          </w:p>
        </w:tc>
        <w:tc>
          <w:tcPr>
            <w:tcW w:w="741" w:type="pct"/>
            <w:vAlign w:val="center"/>
          </w:tcPr>
          <w:p w14:paraId="5C235C4C">
            <w:pPr>
              <w:spacing w:line="500" w:lineRule="exact"/>
              <w:jc w:val="center"/>
              <w:rPr>
                <w:rFonts w:ascii="Times New Roman" w:hAnsi="Times New Roman" w:eastAsia="宋体"/>
                <w:sz w:val="24"/>
                <w:szCs w:val="24"/>
              </w:rPr>
            </w:pPr>
            <w:r>
              <w:rPr>
                <w:rFonts w:ascii="Times New Roman" w:hAnsi="Times New Roman" w:eastAsia="宋体"/>
                <w:sz w:val="24"/>
                <w:szCs w:val="24"/>
              </w:rPr>
              <w:t>——</w:t>
            </w:r>
          </w:p>
        </w:tc>
        <w:tc>
          <w:tcPr>
            <w:tcW w:w="554" w:type="pct"/>
            <w:vAlign w:val="center"/>
          </w:tcPr>
          <w:p w14:paraId="2741FCB7">
            <w:pPr>
              <w:spacing w:line="500" w:lineRule="exact"/>
              <w:jc w:val="center"/>
              <w:rPr>
                <w:rFonts w:ascii="Times New Roman" w:hAnsi="Times New Roman" w:eastAsia="宋体"/>
                <w:sz w:val="24"/>
                <w:szCs w:val="24"/>
              </w:rPr>
            </w:pPr>
            <w:r>
              <w:rPr>
                <w:rFonts w:ascii="Times New Roman" w:hAnsi="Times New Roman" w:eastAsia="宋体"/>
                <w:sz w:val="24"/>
                <w:szCs w:val="24"/>
              </w:rPr>
              <w:t>刘海龙</w:t>
            </w:r>
          </w:p>
        </w:tc>
        <w:tc>
          <w:tcPr>
            <w:tcW w:w="1065" w:type="pct"/>
            <w:vAlign w:val="center"/>
          </w:tcPr>
          <w:p w14:paraId="05D175F2">
            <w:pPr>
              <w:spacing w:line="500" w:lineRule="exact"/>
              <w:jc w:val="center"/>
              <w:rPr>
                <w:rFonts w:ascii="Times New Roman" w:hAnsi="Times New Roman" w:eastAsia="宋体"/>
                <w:sz w:val="24"/>
                <w:szCs w:val="24"/>
              </w:rPr>
            </w:pPr>
            <w:r>
              <w:rPr>
                <w:rFonts w:ascii="Times New Roman" w:hAnsi="Times New Roman" w:eastAsia="宋体"/>
                <w:sz w:val="24"/>
                <w:szCs w:val="24"/>
              </w:rPr>
              <w:t>13605139785</w:t>
            </w:r>
          </w:p>
        </w:tc>
        <w:tc>
          <w:tcPr>
            <w:tcW w:w="707" w:type="pct"/>
            <w:vAlign w:val="center"/>
          </w:tcPr>
          <w:p w14:paraId="318E3437">
            <w:pPr>
              <w:spacing w:line="500" w:lineRule="exact"/>
              <w:jc w:val="center"/>
              <w:rPr>
                <w:rFonts w:ascii="Times New Roman" w:hAnsi="Times New Roman" w:eastAsia="宋体"/>
                <w:sz w:val="24"/>
                <w:szCs w:val="24"/>
              </w:rPr>
            </w:pPr>
            <w:r>
              <w:rPr>
                <w:rFonts w:ascii="Times New Roman" w:hAnsi="Times New Roman" w:eastAsia="宋体"/>
                <w:sz w:val="24"/>
                <w:szCs w:val="24"/>
              </w:rPr>
              <w:t>市政公司员工</w:t>
            </w:r>
          </w:p>
        </w:tc>
      </w:tr>
      <w:tr w14:paraId="7D3B41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95" w:type="pct"/>
            <w:gridSpan w:val="2"/>
            <w:vAlign w:val="center"/>
          </w:tcPr>
          <w:p w14:paraId="43253F7A">
            <w:pPr>
              <w:spacing w:line="500" w:lineRule="exact"/>
              <w:jc w:val="center"/>
              <w:rPr>
                <w:rFonts w:ascii="Times New Roman" w:hAnsi="Times New Roman" w:eastAsia="宋体"/>
                <w:sz w:val="24"/>
                <w:szCs w:val="24"/>
              </w:rPr>
            </w:pPr>
            <w:r>
              <w:rPr>
                <w:rFonts w:ascii="Times New Roman" w:hAnsi="Times New Roman" w:eastAsia="宋体"/>
                <w:sz w:val="24"/>
                <w:szCs w:val="24"/>
              </w:rPr>
              <w:t>总计</w:t>
            </w:r>
          </w:p>
        </w:tc>
        <w:tc>
          <w:tcPr>
            <w:tcW w:w="431" w:type="pct"/>
            <w:vAlign w:val="center"/>
          </w:tcPr>
          <w:p w14:paraId="66333EEE">
            <w:pPr>
              <w:spacing w:line="500" w:lineRule="exact"/>
              <w:jc w:val="center"/>
              <w:rPr>
                <w:rFonts w:ascii="Times New Roman" w:hAnsi="Times New Roman" w:eastAsia="宋体"/>
                <w:sz w:val="24"/>
                <w:szCs w:val="24"/>
              </w:rPr>
            </w:pPr>
            <w:r>
              <w:rPr>
                <w:rFonts w:ascii="Times New Roman" w:hAnsi="Times New Roman" w:eastAsia="宋体"/>
                <w:sz w:val="24"/>
                <w:szCs w:val="24"/>
              </w:rPr>
              <w:t>995</w:t>
            </w:r>
          </w:p>
        </w:tc>
        <w:tc>
          <w:tcPr>
            <w:tcW w:w="705" w:type="pct"/>
            <w:vAlign w:val="center"/>
          </w:tcPr>
          <w:p w14:paraId="56D82DD2">
            <w:pPr>
              <w:spacing w:line="500" w:lineRule="exact"/>
              <w:jc w:val="center"/>
              <w:rPr>
                <w:rFonts w:ascii="Times New Roman" w:hAnsi="Times New Roman" w:eastAsia="宋体"/>
                <w:sz w:val="24"/>
                <w:szCs w:val="24"/>
              </w:rPr>
            </w:pPr>
            <w:r>
              <w:rPr>
                <w:rFonts w:ascii="Times New Roman" w:hAnsi="Times New Roman" w:eastAsia="宋体"/>
                <w:sz w:val="24"/>
                <w:szCs w:val="24"/>
              </w:rPr>
              <w:t>219</w:t>
            </w:r>
          </w:p>
        </w:tc>
        <w:tc>
          <w:tcPr>
            <w:tcW w:w="741" w:type="pct"/>
            <w:vAlign w:val="center"/>
          </w:tcPr>
          <w:p w14:paraId="6A4E7651">
            <w:pPr>
              <w:spacing w:line="500" w:lineRule="exact"/>
              <w:jc w:val="center"/>
              <w:rPr>
                <w:rFonts w:ascii="Times New Roman" w:hAnsi="Times New Roman" w:eastAsia="宋体"/>
                <w:sz w:val="24"/>
                <w:szCs w:val="24"/>
              </w:rPr>
            </w:pPr>
            <w:r>
              <w:rPr>
                <w:rFonts w:ascii="Times New Roman" w:hAnsi="Times New Roman" w:eastAsia="宋体"/>
                <w:sz w:val="24"/>
                <w:szCs w:val="24"/>
              </w:rPr>
              <w:t>776</w:t>
            </w:r>
          </w:p>
        </w:tc>
        <w:tc>
          <w:tcPr>
            <w:tcW w:w="554" w:type="pct"/>
            <w:vAlign w:val="center"/>
          </w:tcPr>
          <w:p w14:paraId="49A2ECE5">
            <w:pPr>
              <w:spacing w:line="500" w:lineRule="exact"/>
              <w:jc w:val="center"/>
              <w:rPr>
                <w:rFonts w:ascii="Times New Roman" w:hAnsi="Times New Roman" w:eastAsia="宋体"/>
                <w:sz w:val="24"/>
                <w:szCs w:val="24"/>
              </w:rPr>
            </w:pPr>
          </w:p>
        </w:tc>
        <w:tc>
          <w:tcPr>
            <w:tcW w:w="1065" w:type="pct"/>
            <w:vAlign w:val="center"/>
          </w:tcPr>
          <w:p w14:paraId="0029A391">
            <w:pPr>
              <w:spacing w:line="500" w:lineRule="exact"/>
              <w:jc w:val="center"/>
              <w:rPr>
                <w:rFonts w:ascii="Times New Roman" w:hAnsi="Times New Roman" w:eastAsia="宋体"/>
                <w:sz w:val="24"/>
                <w:szCs w:val="24"/>
              </w:rPr>
            </w:pPr>
          </w:p>
        </w:tc>
        <w:tc>
          <w:tcPr>
            <w:tcW w:w="707" w:type="pct"/>
            <w:vAlign w:val="center"/>
          </w:tcPr>
          <w:p w14:paraId="6047673B">
            <w:pPr>
              <w:spacing w:line="500" w:lineRule="exact"/>
              <w:jc w:val="center"/>
              <w:rPr>
                <w:rFonts w:ascii="Times New Roman" w:hAnsi="Times New Roman" w:eastAsia="宋体"/>
                <w:sz w:val="24"/>
                <w:szCs w:val="24"/>
              </w:rPr>
            </w:pPr>
          </w:p>
        </w:tc>
      </w:tr>
    </w:tbl>
    <w:p w14:paraId="3C7F1A81">
      <w:pPr>
        <w:pStyle w:val="2"/>
        <w:ind w:firstLine="0" w:firstLineChars="0"/>
        <w:jc w:val="center"/>
        <w:rPr>
          <w:rFonts w:cs="Times New Roman"/>
          <w:bCs/>
          <w:sz w:val="28"/>
          <w:szCs w:val="28"/>
        </w:rPr>
      </w:pPr>
      <w:r>
        <w:rPr>
          <w:rFonts w:cs="Times New Roman"/>
          <w:bCs/>
          <w:sz w:val="28"/>
          <w:szCs w:val="28"/>
        </w:rPr>
        <w:t>附表2：开发区2020年度区级防汛物资储备表</w:t>
      </w:r>
    </w:p>
    <w:tbl>
      <w:tblPr>
        <w:tblStyle w:val="23"/>
        <w:tblW w:w="511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323"/>
        <w:gridCol w:w="2285"/>
        <w:gridCol w:w="1244"/>
        <w:gridCol w:w="1311"/>
        <w:gridCol w:w="1906"/>
      </w:tblGrid>
      <w:tr w14:paraId="1F6364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2" w:hRule="atLeast"/>
          <w:tblHeader/>
          <w:jc w:val="center"/>
        </w:trPr>
        <w:tc>
          <w:tcPr>
            <w:tcW w:w="1279" w:type="pct"/>
            <w:noWrap/>
            <w:tcMar>
              <w:top w:w="15" w:type="dxa"/>
              <w:left w:w="15" w:type="dxa"/>
              <w:right w:w="15" w:type="dxa"/>
            </w:tcMar>
            <w:vAlign w:val="center"/>
          </w:tcPr>
          <w:p w14:paraId="3B9C35C2">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物资种类</w:t>
            </w:r>
          </w:p>
        </w:tc>
        <w:tc>
          <w:tcPr>
            <w:tcW w:w="1259" w:type="pct"/>
            <w:noWrap/>
            <w:tcMar>
              <w:top w:w="15" w:type="dxa"/>
              <w:left w:w="15" w:type="dxa"/>
              <w:right w:w="15" w:type="dxa"/>
            </w:tcMar>
            <w:vAlign w:val="center"/>
          </w:tcPr>
          <w:p w14:paraId="796A1092">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存放地点</w:t>
            </w:r>
          </w:p>
        </w:tc>
        <w:tc>
          <w:tcPr>
            <w:tcW w:w="686" w:type="pct"/>
            <w:tcMar>
              <w:top w:w="15" w:type="dxa"/>
              <w:left w:w="15" w:type="dxa"/>
              <w:right w:w="15" w:type="dxa"/>
            </w:tcMar>
            <w:vAlign w:val="center"/>
          </w:tcPr>
          <w:p w14:paraId="4F9E7816">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存放数量</w:t>
            </w:r>
            <w:r>
              <w:rPr>
                <w:rFonts w:ascii="Times New Roman" w:hAnsi="Times New Roman" w:eastAsia="宋体"/>
                <w:bCs/>
                <w:kern w:val="0"/>
                <w:sz w:val="24"/>
                <w:szCs w:val="24"/>
              </w:rPr>
              <w:br w:type="textWrapping"/>
            </w:r>
            <w:r>
              <w:rPr>
                <w:rFonts w:ascii="Times New Roman" w:hAnsi="Times New Roman" w:eastAsia="宋体"/>
                <w:bCs/>
                <w:kern w:val="0"/>
                <w:sz w:val="24"/>
                <w:szCs w:val="24"/>
              </w:rPr>
              <w:t>（区级）</w:t>
            </w:r>
          </w:p>
        </w:tc>
        <w:tc>
          <w:tcPr>
            <w:tcW w:w="723" w:type="pct"/>
            <w:noWrap/>
            <w:tcMar>
              <w:top w:w="15" w:type="dxa"/>
              <w:left w:w="15" w:type="dxa"/>
              <w:right w:w="15" w:type="dxa"/>
            </w:tcMar>
            <w:vAlign w:val="center"/>
          </w:tcPr>
          <w:p w14:paraId="34A05E10">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责任人</w:t>
            </w:r>
          </w:p>
        </w:tc>
        <w:tc>
          <w:tcPr>
            <w:tcW w:w="1051" w:type="pct"/>
            <w:noWrap/>
            <w:tcMar>
              <w:top w:w="15" w:type="dxa"/>
              <w:left w:w="15" w:type="dxa"/>
              <w:right w:w="15" w:type="dxa"/>
            </w:tcMar>
            <w:vAlign w:val="center"/>
          </w:tcPr>
          <w:p w14:paraId="20FABD0C">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联系电话</w:t>
            </w:r>
          </w:p>
        </w:tc>
      </w:tr>
      <w:tr w14:paraId="41407E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3" w:hRule="atLeast"/>
          <w:jc w:val="center"/>
        </w:trPr>
        <w:tc>
          <w:tcPr>
            <w:tcW w:w="1279" w:type="pct"/>
            <w:noWrap/>
            <w:tcMar>
              <w:top w:w="15" w:type="dxa"/>
              <w:left w:w="15" w:type="dxa"/>
              <w:right w:w="15" w:type="dxa"/>
            </w:tcMar>
            <w:vAlign w:val="center"/>
          </w:tcPr>
          <w:p w14:paraId="0DA475F5">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编织袋（万只）</w:t>
            </w:r>
          </w:p>
        </w:tc>
        <w:tc>
          <w:tcPr>
            <w:tcW w:w="1259" w:type="pct"/>
            <w:noWrap/>
            <w:tcMar>
              <w:top w:w="15" w:type="dxa"/>
              <w:left w:w="15" w:type="dxa"/>
              <w:right w:w="15" w:type="dxa"/>
            </w:tcMar>
            <w:vAlign w:val="center"/>
          </w:tcPr>
          <w:p w14:paraId="4BF3516D">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开发区防汛物资储备（一、二库）</w:t>
            </w:r>
          </w:p>
        </w:tc>
        <w:tc>
          <w:tcPr>
            <w:tcW w:w="686" w:type="pct"/>
            <w:noWrap/>
            <w:tcMar>
              <w:top w:w="15" w:type="dxa"/>
              <w:left w:w="15" w:type="dxa"/>
              <w:right w:w="15" w:type="dxa"/>
            </w:tcMar>
            <w:vAlign w:val="center"/>
          </w:tcPr>
          <w:p w14:paraId="075A30EB">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4.8</w:t>
            </w:r>
          </w:p>
        </w:tc>
        <w:tc>
          <w:tcPr>
            <w:tcW w:w="723" w:type="pct"/>
            <w:tcMar>
              <w:top w:w="15" w:type="dxa"/>
              <w:left w:w="15" w:type="dxa"/>
              <w:right w:w="15" w:type="dxa"/>
            </w:tcMar>
            <w:vAlign w:val="center"/>
          </w:tcPr>
          <w:p w14:paraId="50C496CF">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韩传国</w:t>
            </w:r>
            <w:r>
              <w:rPr>
                <w:rFonts w:ascii="Times New Roman" w:hAnsi="Times New Roman" w:eastAsia="宋体"/>
                <w:kern w:val="0"/>
                <w:sz w:val="24"/>
                <w:szCs w:val="24"/>
              </w:rPr>
              <w:br w:type="textWrapping"/>
            </w:r>
            <w:r>
              <w:rPr>
                <w:rFonts w:ascii="Times New Roman" w:hAnsi="Times New Roman" w:eastAsia="宋体"/>
                <w:kern w:val="0"/>
                <w:sz w:val="24"/>
                <w:szCs w:val="24"/>
              </w:rPr>
              <w:t>王金海</w:t>
            </w:r>
          </w:p>
        </w:tc>
        <w:tc>
          <w:tcPr>
            <w:tcW w:w="1051" w:type="pct"/>
            <w:tcMar>
              <w:top w:w="15" w:type="dxa"/>
              <w:left w:w="15" w:type="dxa"/>
              <w:right w:w="15" w:type="dxa"/>
            </w:tcMar>
            <w:vAlign w:val="center"/>
          </w:tcPr>
          <w:p w14:paraId="66E22EC9">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13505137002</w:t>
            </w:r>
            <w:r>
              <w:rPr>
                <w:rFonts w:ascii="Times New Roman" w:hAnsi="Times New Roman" w:eastAsia="宋体"/>
                <w:kern w:val="0"/>
                <w:sz w:val="24"/>
                <w:szCs w:val="24"/>
              </w:rPr>
              <w:br w:type="textWrapping"/>
            </w:r>
            <w:r>
              <w:rPr>
                <w:rFonts w:ascii="Times New Roman" w:hAnsi="Times New Roman" w:eastAsia="宋体"/>
                <w:kern w:val="0"/>
                <w:sz w:val="24"/>
                <w:szCs w:val="24"/>
              </w:rPr>
              <w:t>13776592978</w:t>
            </w:r>
          </w:p>
        </w:tc>
      </w:tr>
      <w:tr w14:paraId="57A668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8" w:hRule="atLeast"/>
          <w:jc w:val="center"/>
        </w:trPr>
        <w:tc>
          <w:tcPr>
            <w:tcW w:w="1279" w:type="pct"/>
            <w:noWrap/>
            <w:tcMar>
              <w:top w:w="15" w:type="dxa"/>
              <w:left w:w="15" w:type="dxa"/>
              <w:right w:w="15" w:type="dxa"/>
            </w:tcMar>
            <w:vAlign w:val="center"/>
          </w:tcPr>
          <w:p w14:paraId="4A784E82">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土工布（万平方）</w:t>
            </w:r>
          </w:p>
        </w:tc>
        <w:tc>
          <w:tcPr>
            <w:tcW w:w="1259" w:type="pct"/>
            <w:noWrap/>
            <w:tcMar>
              <w:top w:w="15" w:type="dxa"/>
              <w:left w:w="15" w:type="dxa"/>
              <w:right w:w="15" w:type="dxa"/>
            </w:tcMar>
            <w:vAlign w:val="center"/>
          </w:tcPr>
          <w:p w14:paraId="59AD2B07">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开发区防汛物资储备（一、二库）</w:t>
            </w:r>
          </w:p>
        </w:tc>
        <w:tc>
          <w:tcPr>
            <w:tcW w:w="686" w:type="pct"/>
            <w:noWrap/>
            <w:tcMar>
              <w:top w:w="15" w:type="dxa"/>
              <w:left w:w="15" w:type="dxa"/>
              <w:right w:w="15" w:type="dxa"/>
            </w:tcMar>
            <w:vAlign w:val="center"/>
          </w:tcPr>
          <w:p w14:paraId="13A544B0">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0.6</w:t>
            </w:r>
          </w:p>
        </w:tc>
        <w:tc>
          <w:tcPr>
            <w:tcW w:w="723" w:type="pct"/>
            <w:tcMar>
              <w:top w:w="15" w:type="dxa"/>
              <w:left w:w="15" w:type="dxa"/>
              <w:right w:w="15" w:type="dxa"/>
            </w:tcMar>
            <w:vAlign w:val="center"/>
          </w:tcPr>
          <w:p w14:paraId="6369A1BA">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韩传国</w:t>
            </w:r>
            <w:r>
              <w:rPr>
                <w:rFonts w:ascii="Times New Roman" w:hAnsi="Times New Roman" w:eastAsia="宋体"/>
                <w:kern w:val="0"/>
                <w:sz w:val="24"/>
                <w:szCs w:val="24"/>
              </w:rPr>
              <w:br w:type="textWrapping"/>
            </w:r>
            <w:r>
              <w:rPr>
                <w:rFonts w:ascii="Times New Roman" w:hAnsi="Times New Roman" w:eastAsia="宋体"/>
                <w:kern w:val="0"/>
                <w:sz w:val="24"/>
                <w:szCs w:val="24"/>
              </w:rPr>
              <w:t>王金海</w:t>
            </w:r>
          </w:p>
        </w:tc>
        <w:tc>
          <w:tcPr>
            <w:tcW w:w="1051" w:type="pct"/>
            <w:tcMar>
              <w:top w:w="15" w:type="dxa"/>
              <w:left w:w="15" w:type="dxa"/>
              <w:right w:w="15" w:type="dxa"/>
            </w:tcMar>
            <w:vAlign w:val="center"/>
          </w:tcPr>
          <w:p w14:paraId="55F229C3">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13505137002</w:t>
            </w:r>
            <w:r>
              <w:rPr>
                <w:rFonts w:ascii="Times New Roman" w:hAnsi="Times New Roman" w:eastAsia="宋体"/>
                <w:kern w:val="0"/>
                <w:sz w:val="24"/>
                <w:szCs w:val="24"/>
              </w:rPr>
              <w:br w:type="textWrapping"/>
            </w:r>
            <w:r>
              <w:rPr>
                <w:rFonts w:ascii="Times New Roman" w:hAnsi="Times New Roman" w:eastAsia="宋体"/>
                <w:kern w:val="0"/>
                <w:sz w:val="24"/>
                <w:szCs w:val="24"/>
              </w:rPr>
              <w:t>13776592978</w:t>
            </w:r>
          </w:p>
        </w:tc>
      </w:tr>
      <w:tr w14:paraId="0A4017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1279" w:type="pct"/>
            <w:noWrap/>
            <w:tcMar>
              <w:top w:w="15" w:type="dxa"/>
              <w:left w:w="15" w:type="dxa"/>
              <w:right w:w="15" w:type="dxa"/>
            </w:tcMar>
            <w:vAlign w:val="center"/>
          </w:tcPr>
          <w:p w14:paraId="3FD38AC8">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救生衣（件）</w:t>
            </w:r>
          </w:p>
        </w:tc>
        <w:tc>
          <w:tcPr>
            <w:tcW w:w="1259" w:type="pct"/>
            <w:noWrap/>
            <w:tcMar>
              <w:top w:w="15" w:type="dxa"/>
              <w:left w:w="15" w:type="dxa"/>
              <w:right w:w="15" w:type="dxa"/>
            </w:tcMar>
            <w:vAlign w:val="center"/>
          </w:tcPr>
          <w:p w14:paraId="3B1C90C8">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开发区防汛物资储备（一、二库）</w:t>
            </w:r>
          </w:p>
        </w:tc>
        <w:tc>
          <w:tcPr>
            <w:tcW w:w="686" w:type="pct"/>
            <w:noWrap/>
            <w:tcMar>
              <w:top w:w="15" w:type="dxa"/>
              <w:left w:w="15" w:type="dxa"/>
              <w:right w:w="15" w:type="dxa"/>
            </w:tcMar>
            <w:vAlign w:val="center"/>
          </w:tcPr>
          <w:p w14:paraId="418B1173">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100</w:t>
            </w:r>
          </w:p>
        </w:tc>
        <w:tc>
          <w:tcPr>
            <w:tcW w:w="723" w:type="pct"/>
            <w:tcMar>
              <w:top w:w="15" w:type="dxa"/>
              <w:left w:w="15" w:type="dxa"/>
              <w:right w:w="15" w:type="dxa"/>
            </w:tcMar>
            <w:vAlign w:val="center"/>
          </w:tcPr>
          <w:p w14:paraId="15134554">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韩传国</w:t>
            </w:r>
            <w:r>
              <w:rPr>
                <w:rFonts w:ascii="Times New Roman" w:hAnsi="Times New Roman" w:eastAsia="宋体"/>
                <w:kern w:val="0"/>
                <w:sz w:val="24"/>
                <w:szCs w:val="24"/>
              </w:rPr>
              <w:br w:type="textWrapping"/>
            </w:r>
            <w:r>
              <w:rPr>
                <w:rFonts w:ascii="Times New Roman" w:hAnsi="Times New Roman" w:eastAsia="宋体"/>
                <w:kern w:val="0"/>
                <w:sz w:val="24"/>
                <w:szCs w:val="24"/>
              </w:rPr>
              <w:t>王金海</w:t>
            </w:r>
          </w:p>
        </w:tc>
        <w:tc>
          <w:tcPr>
            <w:tcW w:w="1051" w:type="pct"/>
            <w:tcMar>
              <w:top w:w="15" w:type="dxa"/>
              <w:left w:w="15" w:type="dxa"/>
              <w:right w:w="15" w:type="dxa"/>
            </w:tcMar>
            <w:vAlign w:val="center"/>
          </w:tcPr>
          <w:p w14:paraId="272FAC5F">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13505137002</w:t>
            </w:r>
            <w:r>
              <w:rPr>
                <w:rFonts w:ascii="Times New Roman" w:hAnsi="Times New Roman" w:eastAsia="宋体"/>
                <w:kern w:val="0"/>
                <w:sz w:val="24"/>
                <w:szCs w:val="24"/>
              </w:rPr>
              <w:br w:type="textWrapping"/>
            </w:r>
            <w:r>
              <w:rPr>
                <w:rFonts w:ascii="Times New Roman" w:hAnsi="Times New Roman" w:eastAsia="宋体"/>
                <w:kern w:val="0"/>
                <w:sz w:val="24"/>
                <w:szCs w:val="24"/>
              </w:rPr>
              <w:t>13776592978</w:t>
            </w:r>
          </w:p>
        </w:tc>
      </w:tr>
      <w:tr w14:paraId="00BAB8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1279" w:type="pct"/>
            <w:noWrap/>
            <w:tcMar>
              <w:top w:w="15" w:type="dxa"/>
              <w:left w:w="15" w:type="dxa"/>
              <w:right w:w="15" w:type="dxa"/>
            </w:tcMar>
            <w:vAlign w:val="center"/>
          </w:tcPr>
          <w:p w14:paraId="7EA9745D">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木材（立方）</w:t>
            </w:r>
          </w:p>
        </w:tc>
        <w:tc>
          <w:tcPr>
            <w:tcW w:w="1259" w:type="pct"/>
            <w:noWrap/>
            <w:tcMar>
              <w:top w:w="15" w:type="dxa"/>
              <w:left w:w="15" w:type="dxa"/>
              <w:right w:w="15" w:type="dxa"/>
            </w:tcMar>
            <w:vAlign w:val="center"/>
          </w:tcPr>
          <w:p w14:paraId="30A55BB2">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开发区防汛物资储备（一、二库）</w:t>
            </w:r>
          </w:p>
        </w:tc>
        <w:tc>
          <w:tcPr>
            <w:tcW w:w="686" w:type="pct"/>
            <w:noWrap/>
            <w:tcMar>
              <w:top w:w="15" w:type="dxa"/>
              <w:left w:w="15" w:type="dxa"/>
              <w:right w:w="15" w:type="dxa"/>
            </w:tcMar>
            <w:vAlign w:val="center"/>
          </w:tcPr>
          <w:p w14:paraId="46405466">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15</w:t>
            </w:r>
          </w:p>
        </w:tc>
        <w:tc>
          <w:tcPr>
            <w:tcW w:w="723" w:type="pct"/>
            <w:tcMar>
              <w:top w:w="15" w:type="dxa"/>
              <w:left w:w="15" w:type="dxa"/>
              <w:right w:w="15" w:type="dxa"/>
            </w:tcMar>
            <w:vAlign w:val="center"/>
          </w:tcPr>
          <w:p w14:paraId="639A2F3A">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韩传国</w:t>
            </w:r>
            <w:r>
              <w:rPr>
                <w:rFonts w:ascii="Times New Roman" w:hAnsi="Times New Roman" w:eastAsia="宋体"/>
                <w:kern w:val="0"/>
                <w:sz w:val="24"/>
                <w:szCs w:val="24"/>
              </w:rPr>
              <w:br w:type="textWrapping"/>
            </w:r>
            <w:r>
              <w:rPr>
                <w:rFonts w:ascii="Times New Roman" w:hAnsi="Times New Roman" w:eastAsia="宋体"/>
                <w:kern w:val="0"/>
                <w:sz w:val="24"/>
                <w:szCs w:val="24"/>
              </w:rPr>
              <w:t>王金海</w:t>
            </w:r>
          </w:p>
        </w:tc>
        <w:tc>
          <w:tcPr>
            <w:tcW w:w="1051" w:type="pct"/>
            <w:tcMar>
              <w:top w:w="15" w:type="dxa"/>
              <w:left w:w="15" w:type="dxa"/>
              <w:right w:w="15" w:type="dxa"/>
            </w:tcMar>
            <w:vAlign w:val="center"/>
          </w:tcPr>
          <w:p w14:paraId="613EC613">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13505137002</w:t>
            </w:r>
            <w:r>
              <w:rPr>
                <w:rFonts w:ascii="Times New Roman" w:hAnsi="Times New Roman" w:eastAsia="宋体"/>
                <w:kern w:val="0"/>
                <w:sz w:val="24"/>
                <w:szCs w:val="24"/>
              </w:rPr>
              <w:br w:type="textWrapping"/>
            </w:r>
            <w:r>
              <w:rPr>
                <w:rFonts w:ascii="Times New Roman" w:hAnsi="Times New Roman" w:eastAsia="宋体"/>
                <w:kern w:val="0"/>
                <w:sz w:val="24"/>
                <w:szCs w:val="24"/>
              </w:rPr>
              <w:t>13776592978</w:t>
            </w:r>
          </w:p>
        </w:tc>
      </w:tr>
      <w:tr w14:paraId="126ED1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279" w:type="pct"/>
            <w:vMerge w:val="restart"/>
            <w:noWrap/>
            <w:tcMar>
              <w:top w:w="15" w:type="dxa"/>
              <w:left w:w="15" w:type="dxa"/>
              <w:right w:w="15" w:type="dxa"/>
            </w:tcMar>
            <w:vAlign w:val="center"/>
          </w:tcPr>
          <w:p w14:paraId="4CBE87AB">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块石（吨）</w:t>
            </w:r>
          </w:p>
        </w:tc>
        <w:tc>
          <w:tcPr>
            <w:tcW w:w="1259" w:type="pct"/>
            <w:noWrap/>
            <w:tcMar>
              <w:top w:w="15" w:type="dxa"/>
              <w:left w:w="15" w:type="dxa"/>
              <w:right w:w="15" w:type="dxa"/>
            </w:tcMar>
            <w:vAlign w:val="center"/>
          </w:tcPr>
          <w:p w14:paraId="0D2C55BB">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胜利、云门水库</w:t>
            </w:r>
          </w:p>
        </w:tc>
        <w:tc>
          <w:tcPr>
            <w:tcW w:w="686" w:type="pct"/>
            <w:noWrap/>
            <w:tcMar>
              <w:top w:w="15" w:type="dxa"/>
              <w:left w:w="15" w:type="dxa"/>
              <w:right w:w="15" w:type="dxa"/>
            </w:tcMar>
            <w:vAlign w:val="center"/>
          </w:tcPr>
          <w:p w14:paraId="7138F3BF">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3100</w:t>
            </w:r>
          </w:p>
        </w:tc>
        <w:tc>
          <w:tcPr>
            <w:tcW w:w="723" w:type="pct"/>
            <w:noWrap/>
            <w:tcMar>
              <w:top w:w="15" w:type="dxa"/>
              <w:left w:w="15" w:type="dxa"/>
              <w:right w:w="15" w:type="dxa"/>
            </w:tcMar>
            <w:vAlign w:val="center"/>
          </w:tcPr>
          <w:p w14:paraId="66C425ED">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王金海</w:t>
            </w:r>
          </w:p>
        </w:tc>
        <w:tc>
          <w:tcPr>
            <w:tcW w:w="1051" w:type="pct"/>
            <w:noWrap/>
            <w:tcMar>
              <w:top w:w="15" w:type="dxa"/>
              <w:left w:w="15" w:type="dxa"/>
              <w:right w:w="15" w:type="dxa"/>
            </w:tcMar>
            <w:vAlign w:val="center"/>
          </w:tcPr>
          <w:p w14:paraId="4279425F">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13776592978</w:t>
            </w:r>
          </w:p>
        </w:tc>
      </w:tr>
      <w:tr w14:paraId="4199DF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279" w:type="pct"/>
            <w:vMerge w:val="continue"/>
            <w:noWrap/>
            <w:tcMar>
              <w:top w:w="15" w:type="dxa"/>
              <w:left w:w="15" w:type="dxa"/>
              <w:right w:w="15" w:type="dxa"/>
            </w:tcMar>
            <w:vAlign w:val="center"/>
          </w:tcPr>
          <w:p w14:paraId="35B48713">
            <w:pPr>
              <w:jc w:val="center"/>
              <w:rPr>
                <w:rFonts w:ascii="Times New Roman" w:hAnsi="Times New Roman" w:eastAsia="宋体"/>
                <w:sz w:val="24"/>
                <w:szCs w:val="24"/>
              </w:rPr>
            </w:pPr>
          </w:p>
        </w:tc>
        <w:tc>
          <w:tcPr>
            <w:tcW w:w="1259" w:type="pct"/>
            <w:noWrap/>
            <w:tcMar>
              <w:top w:w="15" w:type="dxa"/>
              <w:left w:w="15" w:type="dxa"/>
              <w:right w:w="15" w:type="dxa"/>
            </w:tcMar>
            <w:vAlign w:val="center"/>
          </w:tcPr>
          <w:p w14:paraId="61B0FDF5">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朝阳、新县、黄泥塘水库</w:t>
            </w:r>
          </w:p>
        </w:tc>
        <w:tc>
          <w:tcPr>
            <w:tcW w:w="686" w:type="pct"/>
            <w:noWrap/>
            <w:tcMar>
              <w:top w:w="15" w:type="dxa"/>
              <w:left w:w="15" w:type="dxa"/>
              <w:right w:w="15" w:type="dxa"/>
            </w:tcMar>
            <w:vAlign w:val="center"/>
          </w:tcPr>
          <w:p w14:paraId="5FABCBE2">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1245</w:t>
            </w:r>
          </w:p>
        </w:tc>
        <w:tc>
          <w:tcPr>
            <w:tcW w:w="723" w:type="pct"/>
            <w:noWrap/>
            <w:tcMar>
              <w:top w:w="15" w:type="dxa"/>
              <w:left w:w="15" w:type="dxa"/>
              <w:right w:w="15" w:type="dxa"/>
            </w:tcMar>
            <w:vAlign w:val="center"/>
          </w:tcPr>
          <w:p w14:paraId="26610835">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韩传国</w:t>
            </w:r>
          </w:p>
        </w:tc>
        <w:tc>
          <w:tcPr>
            <w:tcW w:w="1051" w:type="pct"/>
            <w:noWrap/>
            <w:tcMar>
              <w:top w:w="15" w:type="dxa"/>
              <w:left w:w="15" w:type="dxa"/>
              <w:right w:w="15" w:type="dxa"/>
            </w:tcMar>
            <w:vAlign w:val="center"/>
          </w:tcPr>
          <w:p w14:paraId="73D1E2E2">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13505137002</w:t>
            </w:r>
          </w:p>
        </w:tc>
      </w:tr>
    </w:tbl>
    <w:p w14:paraId="1037BB54">
      <w:pPr>
        <w:autoSpaceDE w:val="0"/>
        <w:autoSpaceDN w:val="0"/>
        <w:snapToGrid w:val="0"/>
        <w:spacing w:line="596" w:lineRule="exact"/>
        <w:ind w:firstLine="1668" w:firstLineChars="596"/>
        <w:rPr>
          <w:rFonts w:ascii="Times New Roman" w:hAnsi="Times New Roman" w:eastAsia="宋体"/>
          <w:bCs/>
          <w:kern w:val="0"/>
          <w:sz w:val="28"/>
        </w:rPr>
      </w:pPr>
      <w:r>
        <w:rPr>
          <w:rFonts w:ascii="Times New Roman" w:hAnsi="Times New Roman" w:eastAsia="宋体"/>
          <w:bCs/>
          <w:kern w:val="0"/>
          <w:sz w:val="28"/>
          <w:lang w:val="zh-CN"/>
        </w:rPr>
        <w:t>附表</w:t>
      </w:r>
      <w:r>
        <w:rPr>
          <w:rFonts w:ascii="Times New Roman" w:hAnsi="Times New Roman" w:eastAsia="宋体"/>
          <w:bCs/>
          <w:kern w:val="0"/>
          <w:sz w:val="28"/>
        </w:rPr>
        <w:t>3   新沭</w:t>
      </w:r>
      <w:r>
        <w:rPr>
          <w:rFonts w:ascii="Times New Roman" w:hAnsi="Times New Roman" w:eastAsia="宋体"/>
          <w:bCs/>
          <w:kern w:val="0"/>
          <w:sz w:val="28"/>
          <w:lang w:val="zh-CN"/>
        </w:rPr>
        <w:t>河上提巡查人力安排表</w:t>
      </w:r>
    </w:p>
    <w:tbl>
      <w:tblPr>
        <w:tblStyle w:val="23"/>
        <w:tblW w:w="8513"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54"/>
        <w:gridCol w:w="1241"/>
        <w:gridCol w:w="1691"/>
        <w:gridCol w:w="1732"/>
        <w:gridCol w:w="1554"/>
        <w:gridCol w:w="1541"/>
      </w:tblGrid>
      <w:tr w14:paraId="204773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70" w:hRule="atLeast"/>
          <w:tblHeader/>
        </w:trPr>
        <w:tc>
          <w:tcPr>
            <w:tcW w:w="754" w:type="dxa"/>
            <w:tcMar>
              <w:top w:w="15" w:type="dxa"/>
              <w:left w:w="15" w:type="dxa"/>
              <w:right w:w="15" w:type="dxa"/>
            </w:tcMar>
            <w:vAlign w:val="center"/>
          </w:tcPr>
          <w:p w14:paraId="6B874CC3">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序号</w:t>
            </w:r>
          </w:p>
        </w:tc>
        <w:tc>
          <w:tcPr>
            <w:tcW w:w="1241" w:type="dxa"/>
            <w:tcMar>
              <w:top w:w="15" w:type="dxa"/>
              <w:left w:w="15" w:type="dxa"/>
              <w:right w:w="15" w:type="dxa"/>
            </w:tcMar>
            <w:vAlign w:val="center"/>
          </w:tcPr>
          <w:p w14:paraId="4EB546C8">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单位</w:t>
            </w:r>
          </w:p>
        </w:tc>
        <w:tc>
          <w:tcPr>
            <w:tcW w:w="1691" w:type="dxa"/>
            <w:tcMar>
              <w:top w:w="15" w:type="dxa"/>
              <w:left w:w="15" w:type="dxa"/>
              <w:right w:w="15" w:type="dxa"/>
            </w:tcMar>
            <w:vAlign w:val="center"/>
          </w:tcPr>
          <w:p w14:paraId="6DC8146F">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4000-5000</w:t>
            </w:r>
            <w:r>
              <w:rPr>
                <w:rFonts w:ascii="Times New Roman" w:hAnsi="Times New Roman" w:eastAsia="宋体"/>
                <w:bCs/>
                <w:snapToGrid w:val="0"/>
                <w:kern w:val="0"/>
                <w:sz w:val="24"/>
                <w:szCs w:val="24"/>
              </w:rPr>
              <w:t>m</w:t>
            </w:r>
            <w:r>
              <w:rPr>
                <w:rFonts w:ascii="Times New Roman" w:hAnsi="Times New Roman" w:eastAsia="宋体"/>
                <w:bCs/>
                <w:snapToGrid w:val="0"/>
                <w:kern w:val="0"/>
                <w:sz w:val="24"/>
                <w:szCs w:val="24"/>
                <w:vertAlign w:val="superscript"/>
              </w:rPr>
              <w:t>3</w:t>
            </w:r>
            <w:r>
              <w:rPr>
                <w:rFonts w:ascii="Times New Roman" w:hAnsi="Times New Roman" w:eastAsia="宋体"/>
                <w:bCs/>
                <w:snapToGrid w:val="0"/>
                <w:kern w:val="0"/>
                <w:sz w:val="24"/>
                <w:szCs w:val="24"/>
              </w:rPr>
              <w:t>/s</w:t>
            </w:r>
            <w:r>
              <w:rPr>
                <w:rFonts w:ascii="Times New Roman" w:hAnsi="Times New Roman" w:eastAsia="宋体"/>
                <w:bCs/>
                <w:kern w:val="0"/>
                <w:sz w:val="24"/>
                <w:szCs w:val="24"/>
              </w:rPr>
              <w:t>上堤人数</w:t>
            </w:r>
          </w:p>
        </w:tc>
        <w:tc>
          <w:tcPr>
            <w:tcW w:w="1732" w:type="dxa"/>
            <w:tcMar>
              <w:top w:w="15" w:type="dxa"/>
              <w:left w:w="15" w:type="dxa"/>
              <w:right w:w="15" w:type="dxa"/>
            </w:tcMar>
            <w:vAlign w:val="center"/>
          </w:tcPr>
          <w:p w14:paraId="4D45F197">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5000-6000</w:t>
            </w:r>
            <w:r>
              <w:rPr>
                <w:rFonts w:ascii="Times New Roman" w:hAnsi="Times New Roman" w:eastAsia="宋体"/>
                <w:bCs/>
                <w:snapToGrid w:val="0"/>
                <w:kern w:val="0"/>
                <w:sz w:val="24"/>
                <w:szCs w:val="24"/>
              </w:rPr>
              <w:t>m</w:t>
            </w:r>
            <w:r>
              <w:rPr>
                <w:rFonts w:ascii="Times New Roman" w:hAnsi="Times New Roman" w:eastAsia="宋体"/>
                <w:bCs/>
                <w:snapToGrid w:val="0"/>
                <w:kern w:val="0"/>
                <w:sz w:val="24"/>
                <w:szCs w:val="24"/>
                <w:vertAlign w:val="superscript"/>
              </w:rPr>
              <w:t>3</w:t>
            </w:r>
            <w:r>
              <w:rPr>
                <w:rFonts w:ascii="Times New Roman" w:hAnsi="Times New Roman" w:eastAsia="宋体"/>
                <w:bCs/>
                <w:snapToGrid w:val="0"/>
                <w:kern w:val="0"/>
                <w:sz w:val="24"/>
                <w:szCs w:val="24"/>
              </w:rPr>
              <w:t>/s</w:t>
            </w:r>
            <w:r>
              <w:rPr>
                <w:rFonts w:ascii="Times New Roman" w:hAnsi="Times New Roman" w:eastAsia="宋体"/>
                <w:bCs/>
                <w:kern w:val="0"/>
                <w:sz w:val="24"/>
                <w:szCs w:val="24"/>
              </w:rPr>
              <w:t>上堤人数</w:t>
            </w:r>
          </w:p>
        </w:tc>
        <w:tc>
          <w:tcPr>
            <w:tcW w:w="1554" w:type="dxa"/>
            <w:tcMar>
              <w:top w:w="15" w:type="dxa"/>
              <w:left w:w="15" w:type="dxa"/>
              <w:right w:w="15" w:type="dxa"/>
            </w:tcMar>
            <w:vAlign w:val="center"/>
          </w:tcPr>
          <w:p w14:paraId="768502A6">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6000</w:t>
            </w:r>
            <w:r>
              <w:rPr>
                <w:rFonts w:ascii="Times New Roman" w:hAnsi="Times New Roman" w:eastAsia="宋体"/>
                <w:bCs/>
                <w:snapToGrid w:val="0"/>
                <w:kern w:val="0"/>
                <w:sz w:val="24"/>
                <w:szCs w:val="24"/>
              </w:rPr>
              <w:t>m</w:t>
            </w:r>
            <w:r>
              <w:rPr>
                <w:rFonts w:ascii="Times New Roman" w:hAnsi="Times New Roman" w:eastAsia="宋体"/>
                <w:bCs/>
                <w:snapToGrid w:val="0"/>
                <w:kern w:val="0"/>
                <w:sz w:val="24"/>
                <w:szCs w:val="24"/>
                <w:vertAlign w:val="superscript"/>
              </w:rPr>
              <w:t>3</w:t>
            </w:r>
            <w:r>
              <w:rPr>
                <w:rFonts w:ascii="Times New Roman" w:hAnsi="Times New Roman" w:eastAsia="宋体"/>
                <w:bCs/>
                <w:snapToGrid w:val="0"/>
                <w:kern w:val="0"/>
                <w:sz w:val="24"/>
                <w:szCs w:val="24"/>
              </w:rPr>
              <w:t>/s</w:t>
            </w:r>
            <w:r>
              <w:rPr>
                <w:rFonts w:ascii="Times New Roman" w:hAnsi="Times New Roman" w:eastAsia="宋体"/>
                <w:bCs/>
                <w:kern w:val="0"/>
                <w:sz w:val="24"/>
                <w:szCs w:val="24"/>
              </w:rPr>
              <w:t>以上上堤人数</w:t>
            </w:r>
          </w:p>
        </w:tc>
        <w:tc>
          <w:tcPr>
            <w:tcW w:w="1541" w:type="dxa"/>
            <w:tcMar>
              <w:top w:w="15" w:type="dxa"/>
              <w:left w:w="15" w:type="dxa"/>
              <w:right w:w="15" w:type="dxa"/>
            </w:tcMar>
            <w:vAlign w:val="center"/>
          </w:tcPr>
          <w:p w14:paraId="3404B9E2">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备注</w:t>
            </w:r>
          </w:p>
        </w:tc>
      </w:tr>
      <w:tr w14:paraId="66B9E4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tcMar>
              <w:top w:w="15" w:type="dxa"/>
              <w:left w:w="15" w:type="dxa"/>
              <w:right w:w="15" w:type="dxa"/>
            </w:tcMar>
            <w:vAlign w:val="center"/>
          </w:tcPr>
          <w:p w14:paraId="430EDD08">
            <w:pPr>
              <w:widowControl/>
              <w:ind w:left="-199" w:leftChars="-95" w:firstLine="216" w:firstLineChars="90"/>
              <w:jc w:val="center"/>
              <w:textAlignment w:val="center"/>
              <w:rPr>
                <w:rFonts w:ascii="Times New Roman" w:hAnsi="Times New Roman" w:eastAsia="宋体"/>
                <w:sz w:val="24"/>
                <w:szCs w:val="24"/>
              </w:rPr>
            </w:pPr>
            <w:r>
              <w:rPr>
                <w:rFonts w:ascii="Times New Roman" w:hAnsi="Times New Roman" w:eastAsia="宋体"/>
                <w:kern w:val="0"/>
                <w:sz w:val="24"/>
                <w:szCs w:val="24"/>
              </w:rPr>
              <w:t>1</w:t>
            </w:r>
          </w:p>
        </w:tc>
        <w:tc>
          <w:tcPr>
            <w:tcW w:w="1241" w:type="dxa"/>
            <w:tcMar>
              <w:top w:w="15" w:type="dxa"/>
              <w:left w:w="15" w:type="dxa"/>
              <w:right w:w="15" w:type="dxa"/>
            </w:tcMar>
            <w:vAlign w:val="center"/>
          </w:tcPr>
          <w:p w14:paraId="152FFF43">
            <w:pPr>
              <w:widowControl/>
              <w:jc w:val="center"/>
              <w:textAlignment w:val="center"/>
              <w:rPr>
                <w:rFonts w:ascii="Times New Roman" w:hAnsi="Times New Roman" w:eastAsia="宋体"/>
                <w:sz w:val="24"/>
                <w:szCs w:val="24"/>
              </w:rPr>
            </w:pPr>
            <w:r>
              <w:rPr>
                <w:rFonts w:ascii="Times New Roman" w:hAnsi="Times New Roman" w:eastAsia="宋体"/>
                <w:sz w:val="24"/>
                <w:szCs w:val="24"/>
              </w:rPr>
              <w:t>朝阳街道</w:t>
            </w:r>
          </w:p>
        </w:tc>
        <w:tc>
          <w:tcPr>
            <w:tcW w:w="1691" w:type="dxa"/>
            <w:tcMar>
              <w:top w:w="15" w:type="dxa"/>
              <w:left w:w="15" w:type="dxa"/>
              <w:right w:w="15" w:type="dxa"/>
            </w:tcMar>
            <w:vAlign w:val="center"/>
          </w:tcPr>
          <w:p w14:paraId="1453887B">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30</w:t>
            </w:r>
          </w:p>
        </w:tc>
        <w:tc>
          <w:tcPr>
            <w:tcW w:w="1732" w:type="dxa"/>
            <w:tcMar>
              <w:top w:w="15" w:type="dxa"/>
              <w:left w:w="15" w:type="dxa"/>
              <w:right w:w="15" w:type="dxa"/>
            </w:tcMar>
            <w:vAlign w:val="center"/>
          </w:tcPr>
          <w:p w14:paraId="0F00B147">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50</w:t>
            </w:r>
          </w:p>
        </w:tc>
        <w:tc>
          <w:tcPr>
            <w:tcW w:w="1554" w:type="dxa"/>
            <w:tcMar>
              <w:top w:w="15" w:type="dxa"/>
              <w:left w:w="15" w:type="dxa"/>
              <w:right w:w="15" w:type="dxa"/>
            </w:tcMar>
            <w:vAlign w:val="center"/>
          </w:tcPr>
          <w:p w14:paraId="4B843634">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全力以赴</w:t>
            </w:r>
          </w:p>
        </w:tc>
        <w:tc>
          <w:tcPr>
            <w:tcW w:w="1541" w:type="dxa"/>
            <w:tcMar>
              <w:top w:w="15" w:type="dxa"/>
              <w:left w:w="15" w:type="dxa"/>
              <w:right w:w="15" w:type="dxa"/>
            </w:tcMar>
            <w:vAlign w:val="center"/>
          </w:tcPr>
          <w:p w14:paraId="50610E97">
            <w:pPr>
              <w:widowControl/>
              <w:jc w:val="center"/>
              <w:textAlignment w:val="center"/>
              <w:rPr>
                <w:rFonts w:ascii="Times New Roman" w:hAnsi="Times New Roman" w:eastAsia="宋体"/>
                <w:sz w:val="24"/>
                <w:szCs w:val="24"/>
              </w:rPr>
            </w:pPr>
          </w:p>
        </w:tc>
      </w:tr>
      <w:tr w14:paraId="7C3DAC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tcMar>
              <w:top w:w="15" w:type="dxa"/>
              <w:left w:w="15" w:type="dxa"/>
              <w:right w:w="15" w:type="dxa"/>
            </w:tcMar>
            <w:vAlign w:val="center"/>
          </w:tcPr>
          <w:p w14:paraId="650E2395">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2</w:t>
            </w:r>
          </w:p>
        </w:tc>
        <w:tc>
          <w:tcPr>
            <w:tcW w:w="1241" w:type="dxa"/>
            <w:tcMar>
              <w:top w:w="15" w:type="dxa"/>
              <w:left w:w="15" w:type="dxa"/>
              <w:right w:w="15" w:type="dxa"/>
            </w:tcMar>
            <w:vAlign w:val="center"/>
          </w:tcPr>
          <w:p w14:paraId="5D5368E9">
            <w:pPr>
              <w:widowControl/>
              <w:jc w:val="center"/>
              <w:textAlignment w:val="center"/>
              <w:rPr>
                <w:rFonts w:ascii="Times New Roman" w:hAnsi="Times New Roman" w:eastAsia="宋体"/>
                <w:sz w:val="24"/>
                <w:szCs w:val="24"/>
              </w:rPr>
            </w:pPr>
            <w:r>
              <w:rPr>
                <w:rFonts w:ascii="Times New Roman" w:hAnsi="Times New Roman" w:eastAsia="宋体"/>
                <w:sz w:val="24"/>
                <w:szCs w:val="24"/>
              </w:rPr>
              <w:t>猴嘴街道</w:t>
            </w:r>
          </w:p>
        </w:tc>
        <w:tc>
          <w:tcPr>
            <w:tcW w:w="1691" w:type="dxa"/>
            <w:tcMar>
              <w:top w:w="15" w:type="dxa"/>
              <w:left w:w="15" w:type="dxa"/>
              <w:right w:w="15" w:type="dxa"/>
            </w:tcMar>
            <w:vAlign w:val="center"/>
          </w:tcPr>
          <w:p w14:paraId="7CC6E3DA">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30</w:t>
            </w:r>
          </w:p>
        </w:tc>
        <w:tc>
          <w:tcPr>
            <w:tcW w:w="1732" w:type="dxa"/>
            <w:tcMar>
              <w:top w:w="15" w:type="dxa"/>
              <w:left w:w="15" w:type="dxa"/>
              <w:right w:w="15" w:type="dxa"/>
            </w:tcMar>
            <w:vAlign w:val="center"/>
          </w:tcPr>
          <w:p w14:paraId="103A380A">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50</w:t>
            </w:r>
          </w:p>
        </w:tc>
        <w:tc>
          <w:tcPr>
            <w:tcW w:w="1554" w:type="dxa"/>
            <w:tcMar>
              <w:top w:w="15" w:type="dxa"/>
              <w:left w:w="15" w:type="dxa"/>
              <w:right w:w="15" w:type="dxa"/>
            </w:tcMar>
            <w:vAlign w:val="center"/>
          </w:tcPr>
          <w:p w14:paraId="3AA251AD">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全力以赴</w:t>
            </w:r>
          </w:p>
        </w:tc>
        <w:tc>
          <w:tcPr>
            <w:tcW w:w="1541" w:type="dxa"/>
            <w:tcMar>
              <w:top w:w="15" w:type="dxa"/>
              <w:left w:w="15" w:type="dxa"/>
              <w:right w:w="15" w:type="dxa"/>
            </w:tcMar>
            <w:vAlign w:val="center"/>
          </w:tcPr>
          <w:p w14:paraId="49D036D6">
            <w:pPr>
              <w:widowControl/>
              <w:jc w:val="center"/>
              <w:textAlignment w:val="center"/>
              <w:rPr>
                <w:rFonts w:ascii="Times New Roman" w:hAnsi="Times New Roman" w:eastAsia="宋体"/>
                <w:sz w:val="24"/>
                <w:szCs w:val="24"/>
              </w:rPr>
            </w:pPr>
          </w:p>
        </w:tc>
      </w:tr>
      <w:tr w14:paraId="094942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tcMar>
              <w:top w:w="15" w:type="dxa"/>
              <w:left w:w="15" w:type="dxa"/>
              <w:right w:w="15" w:type="dxa"/>
            </w:tcMar>
            <w:vAlign w:val="center"/>
          </w:tcPr>
          <w:p w14:paraId="4DAD8E22">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3</w:t>
            </w:r>
          </w:p>
        </w:tc>
        <w:tc>
          <w:tcPr>
            <w:tcW w:w="1241" w:type="dxa"/>
            <w:tcMar>
              <w:top w:w="15" w:type="dxa"/>
              <w:left w:w="15" w:type="dxa"/>
              <w:right w:w="15" w:type="dxa"/>
            </w:tcMar>
            <w:vAlign w:val="center"/>
          </w:tcPr>
          <w:p w14:paraId="3CA08512">
            <w:pPr>
              <w:widowControl/>
              <w:jc w:val="center"/>
              <w:textAlignment w:val="center"/>
              <w:rPr>
                <w:rFonts w:ascii="Times New Roman" w:hAnsi="Times New Roman" w:eastAsia="宋体"/>
                <w:sz w:val="24"/>
                <w:szCs w:val="24"/>
              </w:rPr>
            </w:pPr>
            <w:r>
              <w:rPr>
                <w:rFonts w:ascii="Times New Roman" w:hAnsi="Times New Roman" w:eastAsia="宋体"/>
                <w:sz w:val="24"/>
                <w:szCs w:val="24"/>
              </w:rPr>
              <w:t>中云街道</w:t>
            </w:r>
          </w:p>
        </w:tc>
        <w:tc>
          <w:tcPr>
            <w:tcW w:w="1691" w:type="dxa"/>
            <w:tcMar>
              <w:top w:w="15" w:type="dxa"/>
              <w:left w:w="15" w:type="dxa"/>
              <w:right w:w="15" w:type="dxa"/>
            </w:tcMar>
            <w:vAlign w:val="center"/>
          </w:tcPr>
          <w:p w14:paraId="01E9E9F8">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30</w:t>
            </w:r>
          </w:p>
        </w:tc>
        <w:tc>
          <w:tcPr>
            <w:tcW w:w="1732" w:type="dxa"/>
            <w:tcMar>
              <w:top w:w="15" w:type="dxa"/>
              <w:left w:w="15" w:type="dxa"/>
              <w:right w:w="15" w:type="dxa"/>
            </w:tcMar>
            <w:vAlign w:val="center"/>
          </w:tcPr>
          <w:p w14:paraId="62C2C85F">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50</w:t>
            </w:r>
          </w:p>
        </w:tc>
        <w:tc>
          <w:tcPr>
            <w:tcW w:w="1554" w:type="dxa"/>
            <w:tcMar>
              <w:top w:w="15" w:type="dxa"/>
              <w:left w:w="15" w:type="dxa"/>
              <w:right w:w="15" w:type="dxa"/>
            </w:tcMar>
            <w:vAlign w:val="center"/>
          </w:tcPr>
          <w:p w14:paraId="355EEFF9">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全力以赴</w:t>
            </w:r>
          </w:p>
        </w:tc>
        <w:tc>
          <w:tcPr>
            <w:tcW w:w="1541" w:type="dxa"/>
            <w:tcMar>
              <w:top w:w="15" w:type="dxa"/>
              <w:left w:w="15" w:type="dxa"/>
              <w:right w:w="15" w:type="dxa"/>
            </w:tcMar>
            <w:vAlign w:val="center"/>
          </w:tcPr>
          <w:p w14:paraId="3B5946B7">
            <w:pPr>
              <w:widowControl/>
              <w:jc w:val="center"/>
              <w:textAlignment w:val="center"/>
              <w:rPr>
                <w:rFonts w:ascii="Times New Roman" w:hAnsi="Times New Roman" w:eastAsia="宋体"/>
                <w:sz w:val="24"/>
                <w:szCs w:val="24"/>
              </w:rPr>
            </w:pPr>
          </w:p>
        </w:tc>
      </w:tr>
    </w:tbl>
    <w:p w14:paraId="13DB71AA">
      <w:pPr>
        <w:pStyle w:val="2"/>
        <w:spacing w:line="240" w:lineRule="auto"/>
        <w:ind w:left="0" w:firstLine="0" w:firstLineChars="0"/>
        <w:rPr>
          <w:rFonts w:cs="Times New Roman"/>
          <w:sz w:val="21"/>
          <w:szCs w:val="21"/>
        </w:rPr>
      </w:pPr>
      <w:r>
        <w:rPr>
          <w:rFonts w:cs="Times New Roman"/>
          <w:sz w:val="21"/>
          <w:szCs w:val="21"/>
        </w:rPr>
        <w:t>注：  1.新沭河行洪6000</w:t>
      </w:r>
      <w:r>
        <w:rPr>
          <w:rFonts w:cs="Times New Roman"/>
          <w:snapToGrid w:val="0"/>
          <w:kern w:val="0"/>
          <w:sz w:val="21"/>
          <w:szCs w:val="21"/>
        </w:rPr>
        <w:t>m</w:t>
      </w:r>
      <w:r>
        <w:rPr>
          <w:rFonts w:cs="Times New Roman"/>
          <w:snapToGrid w:val="0"/>
          <w:kern w:val="0"/>
          <w:sz w:val="21"/>
          <w:szCs w:val="21"/>
          <w:vertAlign w:val="superscript"/>
        </w:rPr>
        <w:t>3</w:t>
      </w:r>
      <w:r>
        <w:rPr>
          <w:rFonts w:cs="Times New Roman"/>
          <w:snapToGrid w:val="0"/>
          <w:kern w:val="0"/>
          <w:sz w:val="21"/>
          <w:szCs w:val="21"/>
        </w:rPr>
        <w:t>/s以上时，</w:t>
      </w:r>
      <w:r>
        <w:rPr>
          <w:rFonts w:cs="Times New Roman"/>
          <w:sz w:val="21"/>
          <w:szCs w:val="21"/>
        </w:rPr>
        <w:t>开发区境内沿河街道上堤人数不少于1人/50m。</w:t>
      </w:r>
    </w:p>
    <w:p w14:paraId="5C11BEBE">
      <w:pPr>
        <w:autoSpaceDE w:val="0"/>
        <w:autoSpaceDN w:val="0"/>
        <w:snapToGrid w:val="0"/>
        <w:ind w:firstLine="624"/>
        <w:rPr>
          <w:rFonts w:ascii="Times New Roman" w:hAnsi="Times New Roman" w:eastAsia="宋体"/>
          <w:snapToGrid w:val="0"/>
          <w:kern w:val="0"/>
          <w:szCs w:val="21"/>
        </w:rPr>
      </w:pPr>
      <w:r>
        <w:rPr>
          <w:rFonts w:ascii="Times New Roman" w:hAnsi="Times New Roman" w:eastAsia="宋体"/>
          <w:snapToGrid w:val="0"/>
          <w:kern w:val="0"/>
          <w:szCs w:val="21"/>
        </w:rPr>
        <w:t>2.</w:t>
      </w:r>
      <w:r>
        <w:rPr>
          <w:rFonts w:ascii="Times New Roman" w:hAnsi="Times New Roman" w:eastAsia="宋体"/>
          <w:szCs w:val="21"/>
        </w:rPr>
        <w:t>新沭河</w:t>
      </w:r>
      <w:r>
        <w:rPr>
          <w:rFonts w:ascii="Times New Roman" w:hAnsi="Times New Roman" w:eastAsia="宋体"/>
          <w:snapToGrid w:val="0"/>
          <w:kern w:val="0"/>
          <w:szCs w:val="21"/>
        </w:rPr>
        <w:t>行洪4000m</w:t>
      </w:r>
      <w:r>
        <w:rPr>
          <w:rFonts w:ascii="Times New Roman" w:hAnsi="Times New Roman" w:eastAsia="宋体"/>
          <w:snapToGrid w:val="0"/>
          <w:kern w:val="0"/>
          <w:szCs w:val="21"/>
          <w:vertAlign w:val="superscript"/>
        </w:rPr>
        <w:t>3</w:t>
      </w:r>
      <w:r>
        <w:rPr>
          <w:rFonts w:ascii="Times New Roman" w:hAnsi="Times New Roman" w:eastAsia="宋体"/>
          <w:snapToGrid w:val="0"/>
          <w:kern w:val="0"/>
          <w:szCs w:val="21"/>
        </w:rPr>
        <w:t>/s流量以下，由猴嘴街道负责巡查。</w:t>
      </w:r>
    </w:p>
    <w:p w14:paraId="1D076CAF">
      <w:pPr>
        <w:autoSpaceDE w:val="0"/>
        <w:autoSpaceDN w:val="0"/>
        <w:snapToGrid w:val="0"/>
        <w:ind w:firstLine="624"/>
        <w:rPr>
          <w:rFonts w:ascii="Times New Roman" w:hAnsi="Times New Roman" w:eastAsia="宋体"/>
          <w:snapToGrid w:val="0"/>
          <w:kern w:val="0"/>
          <w:szCs w:val="21"/>
        </w:rPr>
      </w:pPr>
      <w:r>
        <w:rPr>
          <w:rFonts w:ascii="Times New Roman" w:hAnsi="Times New Roman" w:eastAsia="宋体"/>
          <w:snapToGrid w:val="0"/>
          <w:kern w:val="0"/>
          <w:szCs w:val="21"/>
        </w:rPr>
        <w:t>3.若遇突发事件：人员由区防指统一调度。</w:t>
      </w:r>
    </w:p>
    <w:p w14:paraId="684ED012">
      <w:pPr>
        <w:pStyle w:val="2"/>
        <w:ind w:left="0" w:firstLine="0" w:firstLineChars="0"/>
        <w:rPr>
          <w:rFonts w:cs="Times New Roman"/>
        </w:rPr>
      </w:pPr>
    </w:p>
    <w:p w14:paraId="2A0B1E10">
      <w:pPr>
        <w:autoSpaceDE w:val="0"/>
        <w:autoSpaceDN w:val="0"/>
        <w:snapToGrid w:val="0"/>
        <w:spacing w:line="596" w:lineRule="exact"/>
        <w:jc w:val="center"/>
        <w:rPr>
          <w:rFonts w:ascii="Times New Roman" w:hAnsi="Times New Roman" w:eastAsia="宋体"/>
          <w:bCs/>
          <w:kern w:val="0"/>
          <w:sz w:val="28"/>
        </w:rPr>
      </w:pPr>
      <w:r>
        <w:rPr>
          <w:rFonts w:ascii="Times New Roman" w:hAnsi="Times New Roman" w:eastAsia="宋体"/>
          <w:bCs/>
          <w:kern w:val="0"/>
          <w:sz w:val="28"/>
          <w:lang w:val="zh-CN"/>
        </w:rPr>
        <w:t>附表</w:t>
      </w:r>
      <w:r>
        <w:rPr>
          <w:rFonts w:ascii="Times New Roman" w:hAnsi="Times New Roman" w:eastAsia="宋体"/>
          <w:bCs/>
          <w:kern w:val="0"/>
          <w:sz w:val="28"/>
        </w:rPr>
        <w:t>4   水库责任人名单</w:t>
      </w:r>
      <w:r>
        <w:rPr>
          <w:rFonts w:ascii="Times New Roman" w:hAnsi="Times New Roman" w:eastAsia="宋体"/>
          <w:bCs/>
          <w:kern w:val="0"/>
          <w:sz w:val="28"/>
          <w:lang w:val="zh-CN"/>
        </w:rPr>
        <w:t>表</w:t>
      </w:r>
    </w:p>
    <w:tbl>
      <w:tblPr>
        <w:tblStyle w:val="23"/>
        <w:tblW w:w="8513"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54"/>
        <w:gridCol w:w="1873"/>
        <w:gridCol w:w="930"/>
        <w:gridCol w:w="1815"/>
        <w:gridCol w:w="1600"/>
        <w:gridCol w:w="1541"/>
      </w:tblGrid>
      <w:tr w14:paraId="3AB059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70" w:hRule="atLeast"/>
          <w:tblHeader/>
        </w:trPr>
        <w:tc>
          <w:tcPr>
            <w:tcW w:w="754" w:type="dxa"/>
            <w:tcMar>
              <w:top w:w="15" w:type="dxa"/>
              <w:left w:w="15" w:type="dxa"/>
              <w:right w:w="15" w:type="dxa"/>
            </w:tcMar>
            <w:vAlign w:val="center"/>
          </w:tcPr>
          <w:p w14:paraId="214CF0A4">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水库</w:t>
            </w:r>
          </w:p>
        </w:tc>
        <w:tc>
          <w:tcPr>
            <w:tcW w:w="1873" w:type="dxa"/>
            <w:tcMar>
              <w:top w:w="15" w:type="dxa"/>
              <w:left w:w="15" w:type="dxa"/>
              <w:right w:w="15" w:type="dxa"/>
            </w:tcMar>
            <w:vAlign w:val="center"/>
          </w:tcPr>
          <w:p w14:paraId="72BDA278">
            <w:pPr>
              <w:spacing w:line="520" w:lineRule="exact"/>
              <w:jc w:val="center"/>
              <w:rPr>
                <w:rFonts w:ascii="Times New Roman" w:hAnsi="Times New Roman" w:eastAsia="宋体"/>
                <w:bCs/>
                <w:sz w:val="24"/>
                <w:szCs w:val="24"/>
              </w:rPr>
            </w:pPr>
            <w:r>
              <w:rPr>
                <w:rFonts w:ascii="Times New Roman" w:hAnsi="Times New Roman" w:eastAsia="黑体"/>
                <w:sz w:val="24"/>
                <w:szCs w:val="24"/>
              </w:rPr>
              <w:t>类  别</w:t>
            </w:r>
          </w:p>
        </w:tc>
        <w:tc>
          <w:tcPr>
            <w:tcW w:w="930" w:type="dxa"/>
            <w:tcMar>
              <w:top w:w="15" w:type="dxa"/>
              <w:left w:w="15" w:type="dxa"/>
              <w:right w:w="15" w:type="dxa"/>
            </w:tcMar>
            <w:vAlign w:val="center"/>
          </w:tcPr>
          <w:p w14:paraId="27F236B1">
            <w:pPr>
              <w:spacing w:line="520" w:lineRule="exact"/>
              <w:jc w:val="center"/>
              <w:rPr>
                <w:rFonts w:ascii="Times New Roman" w:hAnsi="Times New Roman" w:eastAsia="宋体"/>
                <w:bCs/>
                <w:sz w:val="24"/>
                <w:szCs w:val="24"/>
              </w:rPr>
            </w:pPr>
            <w:r>
              <w:rPr>
                <w:rFonts w:ascii="Times New Roman" w:hAnsi="Times New Roman" w:eastAsia="黑体"/>
                <w:sz w:val="24"/>
                <w:szCs w:val="24"/>
              </w:rPr>
              <w:t>责任人</w:t>
            </w:r>
          </w:p>
        </w:tc>
        <w:tc>
          <w:tcPr>
            <w:tcW w:w="1815" w:type="dxa"/>
            <w:tcMar>
              <w:top w:w="15" w:type="dxa"/>
              <w:left w:w="15" w:type="dxa"/>
              <w:right w:w="15" w:type="dxa"/>
            </w:tcMar>
            <w:vAlign w:val="center"/>
          </w:tcPr>
          <w:p w14:paraId="79115282">
            <w:pPr>
              <w:spacing w:line="520" w:lineRule="exact"/>
              <w:jc w:val="center"/>
              <w:rPr>
                <w:rFonts w:ascii="Times New Roman" w:hAnsi="Times New Roman" w:eastAsia="宋体"/>
                <w:bCs/>
                <w:sz w:val="24"/>
                <w:szCs w:val="24"/>
              </w:rPr>
            </w:pPr>
            <w:r>
              <w:rPr>
                <w:rFonts w:ascii="Times New Roman" w:hAnsi="Times New Roman" w:eastAsia="黑体"/>
                <w:sz w:val="24"/>
                <w:szCs w:val="24"/>
              </w:rPr>
              <w:t>单    位</w:t>
            </w:r>
          </w:p>
        </w:tc>
        <w:tc>
          <w:tcPr>
            <w:tcW w:w="1600" w:type="dxa"/>
            <w:tcMar>
              <w:top w:w="15" w:type="dxa"/>
              <w:left w:w="15" w:type="dxa"/>
              <w:right w:w="15" w:type="dxa"/>
            </w:tcMar>
            <w:vAlign w:val="center"/>
          </w:tcPr>
          <w:p w14:paraId="488640DA">
            <w:pPr>
              <w:spacing w:line="520" w:lineRule="exact"/>
              <w:jc w:val="center"/>
              <w:rPr>
                <w:rFonts w:ascii="Times New Roman" w:hAnsi="Times New Roman" w:eastAsia="宋体"/>
                <w:bCs/>
                <w:sz w:val="24"/>
                <w:szCs w:val="24"/>
              </w:rPr>
            </w:pPr>
            <w:r>
              <w:rPr>
                <w:rFonts w:ascii="Times New Roman" w:hAnsi="Times New Roman" w:eastAsia="黑体"/>
                <w:sz w:val="24"/>
                <w:szCs w:val="24"/>
              </w:rPr>
              <w:t>职  务</w:t>
            </w:r>
          </w:p>
        </w:tc>
        <w:tc>
          <w:tcPr>
            <w:tcW w:w="1541" w:type="dxa"/>
            <w:tcMar>
              <w:top w:w="15" w:type="dxa"/>
              <w:left w:w="15" w:type="dxa"/>
              <w:right w:w="15" w:type="dxa"/>
            </w:tcMar>
            <w:vAlign w:val="center"/>
          </w:tcPr>
          <w:p w14:paraId="70FBC79F">
            <w:pPr>
              <w:spacing w:line="520" w:lineRule="exact"/>
              <w:jc w:val="center"/>
              <w:rPr>
                <w:rFonts w:ascii="Times New Roman" w:hAnsi="Times New Roman" w:eastAsia="宋体"/>
                <w:bCs/>
                <w:sz w:val="24"/>
                <w:szCs w:val="24"/>
              </w:rPr>
            </w:pPr>
            <w:r>
              <w:rPr>
                <w:rFonts w:ascii="Times New Roman" w:hAnsi="Times New Roman" w:eastAsia="黑体"/>
                <w:sz w:val="24"/>
                <w:szCs w:val="24"/>
              </w:rPr>
              <w:t>联系电话</w:t>
            </w:r>
          </w:p>
        </w:tc>
      </w:tr>
      <w:tr w14:paraId="3E7980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restart"/>
            <w:tcMar>
              <w:top w:w="15" w:type="dxa"/>
              <w:left w:w="15" w:type="dxa"/>
              <w:right w:w="15" w:type="dxa"/>
            </w:tcMar>
            <w:vAlign w:val="center"/>
          </w:tcPr>
          <w:p w14:paraId="60CA7A42">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朝阳</w:t>
            </w:r>
          </w:p>
          <w:p w14:paraId="501B96DA">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水库</w:t>
            </w:r>
          </w:p>
        </w:tc>
        <w:tc>
          <w:tcPr>
            <w:tcW w:w="1873" w:type="dxa"/>
            <w:tcMar>
              <w:top w:w="15" w:type="dxa"/>
              <w:left w:w="15" w:type="dxa"/>
              <w:right w:w="15" w:type="dxa"/>
            </w:tcMar>
            <w:vAlign w:val="center"/>
          </w:tcPr>
          <w:p w14:paraId="14A70AE9">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水库安全政府（防汛行政）责任人</w:t>
            </w:r>
          </w:p>
        </w:tc>
        <w:tc>
          <w:tcPr>
            <w:tcW w:w="930" w:type="dxa"/>
            <w:tcMar>
              <w:top w:w="15" w:type="dxa"/>
              <w:left w:w="15" w:type="dxa"/>
              <w:right w:w="15" w:type="dxa"/>
            </w:tcMar>
            <w:vAlign w:val="center"/>
          </w:tcPr>
          <w:p w14:paraId="1157A3E8">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王  琪</w:t>
            </w:r>
          </w:p>
        </w:tc>
        <w:tc>
          <w:tcPr>
            <w:tcW w:w="1815" w:type="dxa"/>
            <w:tcMar>
              <w:top w:w="15" w:type="dxa"/>
              <w:left w:w="15" w:type="dxa"/>
              <w:right w:w="15" w:type="dxa"/>
            </w:tcMar>
            <w:vAlign w:val="center"/>
          </w:tcPr>
          <w:p w14:paraId="6AE500C9">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开发区管委会</w:t>
            </w:r>
          </w:p>
        </w:tc>
        <w:tc>
          <w:tcPr>
            <w:tcW w:w="1600" w:type="dxa"/>
            <w:tcMar>
              <w:top w:w="15" w:type="dxa"/>
              <w:left w:w="15" w:type="dxa"/>
              <w:right w:w="15" w:type="dxa"/>
            </w:tcMar>
            <w:vAlign w:val="center"/>
          </w:tcPr>
          <w:p w14:paraId="364F72E9">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副主任</w:t>
            </w:r>
          </w:p>
        </w:tc>
        <w:tc>
          <w:tcPr>
            <w:tcW w:w="1541" w:type="dxa"/>
            <w:tcMar>
              <w:top w:w="15" w:type="dxa"/>
              <w:left w:w="15" w:type="dxa"/>
              <w:right w:w="15" w:type="dxa"/>
            </w:tcMar>
            <w:vAlign w:val="center"/>
          </w:tcPr>
          <w:p w14:paraId="0A1BD18A">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85881606</w:t>
            </w:r>
          </w:p>
        </w:tc>
      </w:tr>
      <w:tr w14:paraId="44E58E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14:paraId="0A9A08B5">
            <w:pPr>
              <w:spacing w:after="120" w:afterLines="50" w:line="520" w:lineRule="exact"/>
              <w:jc w:val="center"/>
              <w:rPr>
                <w:rFonts w:ascii="Times New Roman" w:hAnsi="Times New Roman" w:eastAsia="宋体"/>
                <w:bCs/>
                <w:sz w:val="24"/>
                <w:szCs w:val="24"/>
              </w:rPr>
            </w:pPr>
          </w:p>
        </w:tc>
        <w:tc>
          <w:tcPr>
            <w:tcW w:w="1873" w:type="dxa"/>
            <w:tcMar>
              <w:top w:w="15" w:type="dxa"/>
              <w:left w:w="15" w:type="dxa"/>
              <w:right w:w="15" w:type="dxa"/>
            </w:tcMar>
            <w:vAlign w:val="center"/>
          </w:tcPr>
          <w:p w14:paraId="2853EC41">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主管单位责任人</w:t>
            </w:r>
          </w:p>
        </w:tc>
        <w:tc>
          <w:tcPr>
            <w:tcW w:w="930" w:type="dxa"/>
            <w:tcMar>
              <w:top w:w="15" w:type="dxa"/>
              <w:left w:w="15" w:type="dxa"/>
              <w:right w:w="15" w:type="dxa"/>
            </w:tcMar>
            <w:vAlign w:val="center"/>
          </w:tcPr>
          <w:p w14:paraId="402881D9">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殷振邦</w:t>
            </w:r>
          </w:p>
        </w:tc>
        <w:tc>
          <w:tcPr>
            <w:tcW w:w="1815" w:type="dxa"/>
            <w:tcMar>
              <w:top w:w="15" w:type="dxa"/>
              <w:left w:w="15" w:type="dxa"/>
              <w:right w:w="15" w:type="dxa"/>
            </w:tcMar>
            <w:vAlign w:val="center"/>
          </w:tcPr>
          <w:p w14:paraId="40483697">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朝阳街道</w:t>
            </w:r>
          </w:p>
        </w:tc>
        <w:tc>
          <w:tcPr>
            <w:tcW w:w="1600" w:type="dxa"/>
            <w:tcMar>
              <w:top w:w="15" w:type="dxa"/>
              <w:left w:w="15" w:type="dxa"/>
              <w:right w:w="15" w:type="dxa"/>
            </w:tcMar>
            <w:vAlign w:val="center"/>
          </w:tcPr>
          <w:p w14:paraId="1B36925A">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党工委书记</w:t>
            </w:r>
          </w:p>
        </w:tc>
        <w:tc>
          <w:tcPr>
            <w:tcW w:w="1541" w:type="dxa"/>
            <w:tcMar>
              <w:top w:w="15" w:type="dxa"/>
              <w:left w:w="15" w:type="dxa"/>
              <w:right w:w="15" w:type="dxa"/>
            </w:tcMar>
            <w:vAlign w:val="center"/>
          </w:tcPr>
          <w:p w14:paraId="04BC024F">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13851230781</w:t>
            </w:r>
          </w:p>
        </w:tc>
      </w:tr>
      <w:tr w14:paraId="392DD5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14:paraId="34D0EC6A">
            <w:pPr>
              <w:spacing w:after="120" w:afterLines="50" w:line="520" w:lineRule="exact"/>
              <w:jc w:val="center"/>
              <w:rPr>
                <w:rFonts w:ascii="Times New Roman" w:hAnsi="Times New Roman" w:eastAsia="宋体"/>
                <w:bCs/>
                <w:sz w:val="24"/>
                <w:szCs w:val="24"/>
              </w:rPr>
            </w:pPr>
          </w:p>
        </w:tc>
        <w:tc>
          <w:tcPr>
            <w:tcW w:w="1873" w:type="dxa"/>
            <w:tcMar>
              <w:top w:w="15" w:type="dxa"/>
              <w:left w:w="15" w:type="dxa"/>
              <w:right w:w="15" w:type="dxa"/>
            </w:tcMar>
            <w:vAlign w:val="center"/>
          </w:tcPr>
          <w:p w14:paraId="1602E0AF">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技术责任人</w:t>
            </w:r>
          </w:p>
        </w:tc>
        <w:tc>
          <w:tcPr>
            <w:tcW w:w="930" w:type="dxa"/>
            <w:tcMar>
              <w:top w:w="15" w:type="dxa"/>
              <w:left w:w="15" w:type="dxa"/>
              <w:right w:w="15" w:type="dxa"/>
            </w:tcMar>
            <w:vAlign w:val="center"/>
          </w:tcPr>
          <w:p w14:paraId="5525E75C">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韩传国</w:t>
            </w:r>
          </w:p>
        </w:tc>
        <w:tc>
          <w:tcPr>
            <w:tcW w:w="1815" w:type="dxa"/>
            <w:tcMar>
              <w:top w:w="15" w:type="dxa"/>
              <w:left w:w="15" w:type="dxa"/>
              <w:right w:w="15" w:type="dxa"/>
            </w:tcMar>
            <w:vAlign w:val="center"/>
          </w:tcPr>
          <w:p w14:paraId="07F12C7B">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朝阳街道水利站</w:t>
            </w:r>
          </w:p>
        </w:tc>
        <w:tc>
          <w:tcPr>
            <w:tcW w:w="1600" w:type="dxa"/>
            <w:tcMar>
              <w:top w:w="15" w:type="dxa"/>
              <w:left w:w="15" w:type="dxa"/>
              <w:right w:w="15" w:type="dxa"/>
            </w:tcMar>
            <w:vAlign w:val="center"/>
          </w:tcPr>
          <w:p w14:paraId="4BF31484">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站  长</w:t>
            </w:r>
          </w:p>
        </w:tc>
        <w:tc>
          <w:tcPr>
            <w:tcW w:w="1541" w:type="dxa"/>
            <w:tcMar>
              <w:top w:w="15" w:type="dxa"/>
              <w:left w:w="15" w:type="dxa"/>
              <w:right w:w="15" w:type="dxa"/>
            </w:tcMar>
            <w:vAlign w:val="center"/>
          </w:tcPr>
          <w:p w14:paraId="5175452A">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13505137002</w:t>
            </w:r>
          </w:p>
        </w:tc>
      </w:tr>
      <w:tr w14:paraId="30FC4E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14:paraId="7CA0ED3C">
            <w:pPr>
              <w:spacing w:after="120" w:afterLines="50" w:line="520" w:lineRule="exact"/>
              <w:jc w:val="center"/>
              <w:rPr>
                <w:rFonts w:ascii="Times New Roman" w:hAnsi="Times New Roman" w:eastAsia="宋体"/>
                <w:bCs/>
                <w:sz w:val="24"/>
                <w:szCs w:val="24"/>
              </w:rPr>
            </w:pPr>
          </w:p>
        </w:tc>
        <w:tc>
          <w:tcPr>
            <w:tcW w:w="1873" w:type="dxa"/>
            <w:tcMar>
              <w:top w:w="15" w:type="dxa"/>
              <w:left w:w="15" w:type="dxa"/>
              <w:right w:w="15" w:type="dxa"/>
            </w:tcMar>
            <w:vAlign w:val="center"/>
          </w:tcPr>
          <w:p w14:paraId="7EAD0746">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管理单位（巡查）责任人</w:t>
            </w:r>
          </w:p>
        </w:tc>
        <w:tc>
          <w:tcPr>
            <w:tcW w:w="930" w:type="dxa"/>
            <w:tcMar>
              <w:top w:w="15" w:type="dxa"/>
              <w:left w:w="15" w:type="dxa"/>
              <w:right w:w="15" w:type="dxa"/>
            </w:tcMar>
            <w:vAlign w:val="center"/>
          </w:tcPr>
          <w:p w14:paraId="00388958">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刘  志</w:t>
            </w:r>
          </w:p>
        </w:tc>
        <w:tc>
          <w:tcPr>
            <w:tcW w:w="1815" w:type="dxa"/>
            <w:tcMar>
              <w:top w:w="15" w:type="dxa"/>
              <w:left w:w="15" w:type="dxa"/>
              <w:right w:w="15" w:type="dxa"/>
            </w:tcMar>
            <w:vAlign w:val="center"/>
          </w:tcPr>
          <w:p w14:paraId="1E354566">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朝阳街道水利站</w:t>
            </w:r>
          </w:p>
        </w:tc>
        <w:tc>
          <w:tcPr>
            <w:tcW w:w="1600" w:type="dxa"/>
            <w:tcMar>
              <w:top w:w="15" w:type="dxa"/>
              <w:left w:w="15" w:type="dxa"/>
              <w:right w:w="15" w:type="dxa"/>
            </w:tcMar>
            <w:vAlign w:val="center"/>
          </w:tcPr>
          <w:p w14:paraId="5F9F4F17">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职  工</w:t>
            </w:r>
          </w:p>
        </w:tc>
        <w:tc>
          <w:tcPr>
            <w:tcW w:w="1541" w:type="dxa"/>
            <w:tcMar>
              <w:top w:w="15" w:type="dxa"/>
              <w:left w:w="15" w:type="dxa"/>
              <w:right w:w="15" w:type="dxa"/>
            </w:tcMar>
            <w:vAlign w:val="center"/>
          </w:tcPr>
          <w:p w14:paraId="08E0AA3A">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18360690858</w:t>
            </w:r>
          </w:p>
        </w:tc>
      </w:tr>
      <w:tr w14:paraId="315335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restart"/>
            <w:tcMar>
              <w:top w:w="15" w:type="dxa"/>
              <w:left w:w="15" w:type="dxa"/>
              <w:right w:w="15" w:type="dxa"/>
            </w:tcMar>
            <w:vAlign w:val="center"/>
          </w:tcPr>
          <w:p w14:paraId="19B0D0D0">
            <w:pPr>
              <w:widowControl/>
              <w:ind w:left="-199" w:leftChars="-95" w:firstLine="216" w:firstLineChars="90"/>
              <w:jc w:val="center"/>
              <w:textAlignment w:val="center"/>
              <w:rPr>
                <w:rFonts w:ascii="Times New Roman" w:hAnsi="Times New Roman" w:eastAsia="宋体"/>
                <w:kern w:val="0"/>
                <w:sz w:val="24"/>
                <w:szCs w:val="24"/>
              </w:rPr>
            </w:pPr>
            <w:r>
              <w:rPr>
                <w:rFonts w:ascii="Times New Roman" w:hAnsi="Times New Roman" w:eastAsia="宋体"/>
                <w:kern w:val="0"/>
                <w:sz w:val="24"/>
                <w:szCs w:val="24"/>
              </w:rPr>
              <w:t>新县  水库</w:t>
            </w:r>
          </w:p>
        </w:tc>
        <w:tc>
          <w:tcPr>
            <w:tcW w:w="1873" w:type="dxa"/>
            <w:tcMar>
              <w:top w:w="15" w:type="dxa"/>
              <w:left w:w="15" w:type="dxa"/>
              <w:right w:w="15" w:type="dxa"/>
            </w:tcMar>
            <w:vAlign w:val="center"/>
          </w:tcPr>
          <w:p w14:paraId="66E1294B">
            <w:pPr>
              <w:spacing w:line="520" w:lineRule="exact"/>
              <w:jc w:val="center"/>
              <w:rPr>
                <w:rFonts w:ascii="Times New Roman" w:hAnsi="Times New Roman" w:eastAsia="宋体"/>
                <w:sz w:val="24"/>
                <w:szCs w:val="24"/>
              </w:rPr>
            </w:pPr>
            <w:r>
              <w:rPr>
                <w:rFonts w:ascii="Times New Roman" w:hAnsi="Times New Roman" w:eastAsia="宋体"/>
                <w:bCs/>
                <w:sz w:val="24"/>
                <w:szCs w:val="24"/>
              </w:rPr>
              <w:t>水库安全政府（防汛行政）责任人</w:t>
            </w:r>
          </w:p>
        </w:tc>
        <w:tc>
          <w:tcPr>
            <w:tcW w:w="930" w:type="dxa"/>
            <w:tcMar>
              <w:top w:w="15" w:type="dxa"/>
              <w:left w:w="15" w:type="dxa"/>
              <w:right w:w="15" w:type="dxa"/>
            </w:tcMar>
            <w:vAlign w:val="center"/>
          </w:tcPr>
          <w:p w14:paraId="70121C25">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王  琪</w:t>
            </w:r>
          </w:p>
        </w:tc>
        <w:tc>
          <w:tcPr>
            <w:tcW w:w="1815" w:type="dxa"/>
            <w:tcMar>
              <w:top w:w="15" w:type="dxa"/>
              <w:left w:w="15" w:type="dxa"/>
              <w:right w:w="15" w:type="dxa"/>
            </w:tcMar>
            <w:vAlign w:val="center"/>
          </w:tcPr>
          <w:p w14:paraId="58EE5258">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开发区管委会</w:t>
            </w:r>
          </w:p>
        </w:tc>
        <w:tc>
          <w:tcPr>
            <w:tcW w:w="1600" w:type="dxa"/>
            <w:tcMar>
              <w:top w:w="15" w:type="dxa"/>
              <w:left w:w="15" w:type="dxa"/>
              <w:right w:w="15" w:type="dxa"/>
            </w:tcMar>
            <w:vAlign w:val="center"/>
          </w:tcPr>
          <w:p w14:paraId="57848226">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副主任</w:t>
            </w:r>
          </w:p>
        </w:tc>
        <w:tc>
          <w:tcPr>
            <w:tcW w:w="1541" w:type="dxa"/>
            <w:tcMar>
              <w:top w:w="15" w:type="dxa"/>
              <w:left w:w="15" w:type="dxa"/>
              <w:right w:w="15" w:type="dxa"/>
            </w:tcMar>
            <w:vAlign w:val="center"/>
          </w:tcPr>
          <w:p w14:paraId="31F4B773">
            <w:pPr>
              <w:spacing w:line="520" w:lineRule="exact"/>
              <w:jc w:val="center"/>
              <w:rPr>
                <w:rFonts w:ascii="Times New Roman" w:hAnsi="Times New Roman" w:eastAsia="宋体"/>
                <w:sz w:val="24"/>
                <w:szCs w:val="24"/>
              </w:rPr>
            </w:pPr>
            <w:r>
              <w:rPr>
                <w:rFonts w:ascii="Times New Roman" w:hAnsi="Times New Roman" w:eastAsia="宋体"/>
                <w:bCs/>
                <w:sz w:val="24"/>
                <w:szCs w:val="24"/>
              </w:rPr>
              <w:t>85881606</w:t>
            </w:r>
          </w:p>
        </w:tc>
      </w:tr>
      <w:tr w14:paraId="711AAB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14:paraId="5215B0D2">
            <w:pPr>
              <w:widowControl/>
              <w:ind w:left="-199" w:leftChars="-95" w:firstLine="216" w:firstLineChars="90"/>
              <w:jc w:val="center"/>
              <w:textAlignment w:val="center"/>
              <w:rPr>
                <w:rFonts w:ascii="Times New Roman" w:hAnsi="Times New Roman" w:eastAsia="宋体"/>
                <w:kern w:val="0"/>
                <w:sz w:val="24"/>
                <w:szCs w:val="24"/>
              </w:rPr>
            </w:pPr>
          </w:p>
        </w:tc>
        <w:tc>
          <w:tcPr>
            <w:tcW w:w="1873" w:type="dxa"/>
            <w:tcMar>
              <w:top w:w="15" w:type="dxa"/>
              <w:left w:w="15" w:type="dxa"/>
              <w:right w:w="15" w:type="dxa"/>
            </w:tcMar>
            <w:vAlign w:val="center"/>
          </w:tcPr>
          <w:p w14:paraId="50F1B32F">
            <w:pPr>
              <w:spacing w:line="520" w:lineRule="exact"/>
              <w:jc w:val="center"/>
              <w:rPr>
                <w:rFonts w:ascii="Times New Roman" w:hAnsi="Times New Roman" w:eastAsia="宋体"/>
                <w:sz w:val="24"/>
                <w:szCs w:val="24"/>
              </w:rPr>
            </w:pPr>
            <w:r>
              <w:rPr>
                <w:rFonts w:ascii="Times New Roman" w:hAnsi="Times New Roman" w:eastAsia="宋体"/>
                <w:bCs/>
                <w:sz w:val="24"/>
                <w:szCs w:val="24"/>
              </w:rPr>
              <w:t>主管单位责任人</w:t>
            </w:r>
          </w:p>
        </w:tc>
        <w:tc>
          <w:tcPr>
            <w:tcW w:w="930" w:type="dxa"/>
            <w:tcMar>
              <w:top w:w="15" w:type="dxa"/>
              <w:left w:w="15" w:type="dxa"/>
              <w:right w:w="15" w:type="dxa"/>
            </w:tcMar>
            <w:vAlign w:val="center"/>
          </w:tcPr>
          <w:p w14:paraId="0790EACE">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刘人铭</w:t>
            </w:r>
          </w:p>
        </w:tc>
        <w:tc>
          <w:tcPr>
            <w:tcW w:w="1815" w:type="dxa"/>
            <w:tcMar>
              <w:top w:w="15" w:type="dxa"/>
              <w:left w:w="15" w:type="dxa"/>
              <w:right w:w="15" w:type="dxa"/>
            </w:tcMar>
            <w:vAlign w:val="center"/>
          </w:tcPr>
          <w:p w14:paraId="12977C9A">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朝阳街道</w:t>
            </w:r>
          </w:p>
        </w:tc>
        <w:tc>
          <w:tcPr>
            <w:tcW w:w="1600" w:type="dxa"/>
            <w:tcMar>
              <w:top w:w="15" w:type="dxa"/>
              <w:left w:w="15" w:type="dxa"/>
              <w:right w:w="15" w:type="dxa"/>
            </w:tcMar>
            <w:vAlign w:val="center"/>
          </w:tcPr>
          <w:p w14:paraId="78E29BAF">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办事处主任</w:t>
            </w:r>
          </w:p>
        </w:tc>
        <w:tc>
          <w:tcPr>
            <w:tcW w:w="1541" w:type="dxa"/>
            <w:tcMar>
              <w:top w:w="15" w:type="dxa"/>
              <w:left w:w="15" w:type="dxa"/>
              <w:right w:w="15" w:type="dxa"/>
            </w:tcMar>
            <w:vAlign w:val="center"/>
          </w:tcPr>
          <w:p w14:paraId="27DB1475">
            <w:pPr>
              <w:spacing w:line="520" w:lineRule="exact"/>
              <w:jc w:val="center"/>
              <w:rPr>
                <w:rFonts w:ascii="Times New Roman" w:hAnsi="Times New Roman" w:eastAsia="宋体"/>
                <w:sz w:val="24"/>
                <w:szCs w:val="24"/>
              </w:rPr>
            </w:pPr>
            <w:r>
              <w:rPr>
                <w:rFonts w:ascii="Times New Roman" w:hAnsi="Times New Roman" w:eastAsia="宋体"/>
                <w:bCs/>
                <w:sz w:val="24"/>
                <w:szCs w:val="24"/>
              </w:rPr>
              <w:t>18936690001</w:t>
            </w:r>
          </w:p>
        </w:tc>
      </w:tr>
      <w:tr w14:paraId="5D8369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14:paraId="55454B7C">
            <w:pPr>
              <w:widowControl/>
              <w:ind w:left="-199" w:leftChars="-95" w:firstLine="216" w:firstLineChars="90"/>
              <w:jc w:val="center"/>
              <w:textAlignment w:val="center"/>
              <w:rPr>
                <w:rFonts w:ascii="Times New Roman" w:hAnsi="Times New Roman" w:eastAsia="宋体"/>
                <w:kern w:val="0"/>
                <w:sz w:val="24"/>
                <w:szCs w:val="24"/>
              </w:rPr>
            </w:pPr>
          </w:p>
        </w:tc>
        <w:tc>
          <w:tcPr>
            <w:tcW w:w="1873" w:type="dxa"/>
            <w:tcMar>
              <w:top w:w="15" w:type="dxa"/>
              <w:left w:w="15" w:type="dxa"/>
              <w:right w:w="15" w:type="dxa"/>
            </w:tcMar>
            <w:vAlign w:val="center"/>
          </w:tcPr>
          <w:p w14:paraId="2C0EC401">
            <w:pPr>
              <w:spacing w:line="520" w:lineRule="exact"/>
              <w:jc w:val="center"/>
              <w:rPr>
                <w:rFonts w:ascii="Times New Roman" w:hAnsi="Times New Roman" w:eastAsia="宋体"/>
                <w:sz w:val="24"/>
                <w:szCs w:val="24"/>
              </w:rPr>
            </w:pPr>
            <w:r>
              <w:rPr>
                <w:rFonts w:ascii="Times New Roman" w:hAnsi="Times New Roman" w:eastAsia="宋体"/>
                <w:bCs/>
                <w:sz w:val="24"/>
                <w:szCs w:val="24"/>
              </w:rPr>
              <w:t>技术责任人</w:t>
            </w:r>
          </w:p>
        </w:tc>
        <w:tc>
          <w:tcPr>
            <w:tcW w:w="930" w:type="dxa"/>
            <w:tcMar>
              <w:top w:w="15" w:type="dxa"/>
              <w:left w:w="15" w:type="dxa"/>
              <w:right w:w="15" w:type="dxa"/>
            </w:tcMar>
            <w:vAlign w:val="center"/>
          </w:tcPr>
          <w:p w14:paraId="361B768F">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李传新</w:t>
            </w:r>
          </w:p>
        </w:tc>
        <w:tc>
          <w:tcPr>
            <w:tcW w:w="1815" w:type="dxa"/>
            <w:tcMar>
              <w:top w:w="15" w:type="dxa"/>
              <w:left w:w="15" w:type="dxa"/>
              <w:right w:w="15" w:type="dxa"/>
            </w:tcMar>
            <w:vAlign w:val="center"/>
          </w:tcPr>
          <w:p w14:paraId="1BAC6136">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朝阳街道水利站</w:t>
            </w:r>
          </w:p>
        </w:tc>
        <w:tc>
          <w:tcPr>
            <w:tcW w:w="1600" w:type="dxa"/>
            <w:tcMar>
              <w:top w:w="15" w:type="dxa"/>
              <w:left w:w="15" w:type="dxa"/>
              <w:right w:w="15" w:type="dxa"/>
            </w:tcMar>
            <w:vAlign w:val="center"/>
          </w:tcPr>
          <w:p w14:paraId="5FC846DE">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书  记</w:t>
            </w:r>
          </w:p>
        </w:tc>
        <w:tc>
          <w:tcPr>
            <w:tcW w:w="1541" w:type="dxa"/>
            <w:tcMar>
              <w:top w:w="15" w:type="dxa"/>
              <w:left w:w="15" w:type="dxa"/>
              <w:right w:w="15" w:type="dxa"/>
            </w:tcMar>
            <w:vAlign w:val="center"/>
          </w:tcPr>
          <w:p w14:paraId="453AFA4F">
            <w:pPr>
              <w:spacing w:line="520" w:lineRule="exact"/>
              <w:jc w:val="center"/>
              <w:rPr>
                <w:rFonts w:ascii="Times New Roman" w:hAnsi="Times New Roman" w:eastAsia="宋体"/>
                <w:sz w:val="24"/>
                <w:szCs w:val="24"/>
              </w:rPr>
            </w:pPr>
            <w:r>
              <w:rPr>
                <w:rFonts w:ascii="Times New Roman" w:hAnsi="Times New Roman" w:eastAsia="宋体"/>
                <w:bCs/>
                <w:sz w:val="24"/>
                <w:szCs w:val="24"/>
              </w:rPr>
              <w:t>13705137675</w:t>
            </w:r>
          </w:p>
        </w:tc>
      </w:tr>
      <w:tr w14:paraId="3AE99B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14:paraId="4F6BC9D0">
            <w:pPr>
              <w:widowControl/>
              <w:ind w:left="-199" w:leftChars="-95" w:firstLine="216" w:firstLineChars="90"/>
              <w:jc w:val="center"/>
              <w:textAlignment w:val="center"/>
              <w:rPr>
                <w:rFonts w:ascii="Times New Roman" w:hAnsi="Times New Roman" w:eastAsia="宋体"/>
                <w:kern w:val="0"/>
                <w:sz w:val="24"/>
                <w:szCs w:val="24"/>
              </w:rPr>
            </w:pPr>
          </w:p>
        </w:tc>
        <w:tc>
          <w:tcPr>
            <w:tcW w:w="1873" w:type="dxa"/>
            <w:tcMar>
              <w:top w:w="15" w:type="dxa"/>
              <w:left w:w="15" w:type="dxa"/>
              <w:right w:w="15" w:type="dxa"/>
            </w:tcMar>
            <w:vAlign w:val="center"/>
          </w:tcPr>
          <w:p w14:paraId="0A450E83">
            <w:pPr>
              <w:spacing w:line="520" w:lineRule="exact"/>
              <w:jc w:val="center"/>
              <w:rPr>
                <w:rFonts w:ascii="Times New Roman" w:hAnsi="Times New Roman" w:eastAsia="宋体"/>
                <w:sz w:val="24"/>
                <w:szCs w:val="24"/>
              </w:rPr>
            </w:pPr>
            <w:r>
              <w:rPr>
                <w:rFonts w:ascii="Times New Roman" w:hAnsi="Times New Roman" w:eastAsia="宋体"/>
                <w:bCs/>
                <w:sz w:val="24"/>
                <w:szCs w:val="24"/>
              </w:rPr>
              <w:t>管理单位（巡查）责任人</w:t>
            </w:r>
          </w:p>
        </w:tc>
        <w:tc>
          <w:tcPr>
            <w:tcW w:w="930" w:type="dxa"/>
            <w:tcMar>
              <w:top w:w="15" w:type="dxa"/>
              <w:left w:w="15" w:type="dxa"/>
              <w:right w:w="15" w:type="dxa"/>
            </w:tcMar>
            <w:vAlign w:val="center"/>
          </w:tcPr>
          <w:p w14:paraId="53063E84">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孙恒权</w:t>
            </w:r>
          </w:p>
        </w:tc>
        <w:tc>
          <w:tcPr>
            <w:tcW w:w="1815" w:type="dxa"/>
            <w:tcMar>
              <w:top w:w="15" w:type="dxa"/>
              <w:left w:w="15" w:type="dxa"/>
              <w:right w:w="15" w:type="dxa"/>
            </w:tcMar>
            <w:vAlign w:val="center"/>
          </w:tcPr>
          <w:p w14:paraId="7901A95B">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朝阳街道水利站</w:t>
            </w:r>
          </w:p>
        </w:tc>
        <w:tc>
          <w:tcPr>
            <w:tcW w:w="1600" w:type="dxa"/>
            <w:tcMar>
              <w:top w:w="15" w:type="dxa"/>
              <w:left w:w="15" w:type="dxa"/>
              <w:right w:w="15" w:type="dxa"/>
            </w:tcMar>
            <w:vAlign w:val="center"/>
          </w:tcPr>
          <w:p w14:paraId="56F50723">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职  工</w:t>
            </w:r>
          </w:p>
        </w:tc>
        <w:tc>
          <w:tcPr>
            <w:tcW w:w="1541" w:type="dxa"/>
            <w:tcMar>
              <w:top w:w="15" w:type="dxa"/>
              <w:left w:w="15" w:type="dxa"/>
              <w:right w:w="15" w:type="dxa"/>
            </w:tcMar>
            <w:vAlign w:val="center"/>
          </w:tcPr>
          <w:p w14:paraId="5604760E">
            <w:pPr>
              <w:spacing w:line="520" w:lineRule="exact"/>
              <w:jc w:val="center"/>
              <w:rPr>
                <w:rFonts w:ascii="Times New Roman" w:hAnsi="Times New Roman" w:eastAsia="宋体"/>
                <w:sz w:val="24"/>
                <w:szCs w:val="24"/>
              </w:rPr>
            </w:pPr>
            <w:r>
              <w:rPr>
                <w:rFonts w:ascii="Times New Roman" w:hAnsi="Times New Roman" w:eastAsia="宋体"/>
                <w:bCs/>
                <w:sz w:val="24"/>
                <w:szCs w:val="24"/>
              </w:rPr>
              <w:t>18936608739</w:t>
            </w:r>
          </w:p>
        </w:tc>
      </w:tr>
      <w:tr w14:paraId="05D80E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restart"/>
            <w:tcMar>
              <w:top w:w="15" w:type="dxa"/>
              <w:left w:w="15" w:type="dxa"/>
              <w:right w:w="15" w:type="dxa"/>
            </w:tcMar>
            <w:vAlign w:val="center"/>
          </w:tcPr>
          <w:p w14:paraId="516FC7C9">
            <w:pPr>
              <w:widowControl/>
              <w:tabs>
                <w:tab w:val="left" w:pos="317"/>
              </w:tabs>
              <w:ind w:left="-199" w:leftChars="-95" w:firstLine="216" w:firstLineChars="90"/>
              <w:jc w:val="center"/>
              <w:textAlignment w:val="center"/>
              <w:rPr>
                <w:rFonts w:ascii="Times New Roman" w:hAnsi="Times New Roman" w:eastAsia="宋体"/>
                <w:kern w:val="0"/>
                <w:sz w:val="24"/>
                <w:szCs w:val="24"/>
              </w:rPr>
            </w:pPr>
            <w:r>
              <w:rPr>
                <w:rFonts w:ascii="Times New Roman" w:hAnsi="Times New Roman" w:eastAsia="宋体"/>
                <w:kern w:val="0"/>
                <w:sz w:val="24"/>
                <w:szCs w:val="24"/>
              </w:rPr>
              <w:t>黄泥塘</w:t>
            </w:r>
          </w:p>
          <w:p w14:paraId="29504377">
            <w:pPr>
              <w:widowControl/>
              <w:tabs>
                <w:tab w:val="left" w:pos="317"/>
              </w:tabs>
              <w:ind w:left="-199" w:leftChars="-95" w:firstLine="216" w:firstLineChars="90"/>
              <w:jc w:val="center"/>
              <w:textAlignment w:val="center"/>
              <w:rPr>
                <w:rFonts w:ascii="Times New Roman" w:hAnsi="Times New Roman" w:eastAsia="宋体"/>
                <w:kern w:val="0"/>
                <w:sz w:val="24"/>
                <w:szCs w:val="24"/>
              </w:rPr>
            </w:pPr>
            <w:r>
              <w:rPr>
                <w:rFonts w:ascii="Times New Roman" w:hAnsi="Times New Roman" w:eastAsia="宋体"/>
                <w:kern w:val="0"/>
                <w:sz w:val="24"/>
                <w:szCs w:val="24"/>
              </w:rPr>
              <w:t>水库</w:t>
            </w:r>
          </w:p>
        </w:tc>
        <w:tc>
          <w:tcPr>
            <w:tcW w:w="1873" w:type="dxa"/>
            <w:tcMar>
              <w:top w:w="15" w:type="dxa"/>
              <w:left w:w="15" w:type="dxa"/>
              <w:right w:w="15" w:type="dxa"/>
            </w:tcMar>
            <w:vAlign w:val="center"/>
          </w:tcPr>
          <w:p w14:paraId="7AAD8512">
            <w:pPr>
              <w:spacing w:after="120" w:afterLines="50" w:line="400" w:lineRule="exact"/>
              <w:jc w:val="center"/>
              <w:rPr>
                <w:rFonts w:ascii="Times New Roman" w:hAnsi="Times New Roman" w:eastAsia="宋体"/>
                <w:sz w:val="24"/>
                <w:szCs w:val="24"/>
              </w:rPr>
            </w:pPr>
            <w:r>
              <w:rPr>
                <w:rFonts w:ascii="Times New Roman" w:hAnsi="Times New Roman" w:eastAsia="宋体"/>
                <w:bCs/>
                <w:sz w:val="24"/>
                <w:szCs w:val="24"/>
              </w:rPr>
              <w:t>水库安全政府（防汛行政）责任人</w:t>
            </w:r>
          </w:p>
        </w:tc>
        <w:tc>
          <w:tcPr>
            <w:tcW w:w="930" w:type="dxa"/>
            <w:tcMar>
              <w:top w:w="15" w:type="dxa"/>
              <w:left w:w="15" w:type="dxa"/>
              <w:right w:w="15" w:type="dxa"/>
            </w:tcMar>
            <w:vAlign w:val="center"/>
          </w:tcPr>
          <w:p w14:paraId="28D527CE">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王  琪</w:t>
            </w:r>
          </w:p>
        </w:tc>
        <w:tc>
          <w:tcPr>
            <w:tcW w:w="1815" w:type="dxa"/>
            <w:tcMar>
              <w:top w:w="15" w:type="dxa"/>
              <w:left w:w="15" w:type="dxa"/>
              <w:right w:w="15" w:type="dxa"/>
            </w:tcMar>
            <w:vAlign w:val="center"/>
          </w:tcPr>
          <w:p w14:paraId="2A079A79">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开发区管委会</w:t>
            </w:r>
          </w:p>
        </w:tc>
        <w:tc>
          <w:tcPr>
            <w:tcW w:w="1600" w:type="dxa"/>
            <w:tcMar>
              <w:top w:w="15" w:type="dxa"/>
              <w:left w:w="15" w:type="dxa"/>
              <w:right w:w="15" w:type="dxa"/>
            </w:tcMar>
            <w:vAlign w:val="center"/>
          </w:tcPr>
          <w:p w14:paraId="764B1649">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副主任</w:t>
            </w:r>
          </w:p>
        </w:tc>
        <w:tc>
          <w:tcPr>
            <w:tcW w:w="1541" w:type="dxa"/>
            <w:tcMar>
              <w:top w:w="15" w:type="dxa"/>
              <w:left w:w="15" w:type="dxa"/>
              <w:right w:w="15" w:type="dxa"/>
            </w:tcMar>
            <w:vAlign w:val="center"/>
          </w:tcPr>
          <w:p w14:paraId="705960B3">
            <w:pPr>
              <w:spacing w:after="120" w:afterLines="50" w:line="400" w:lineRule="exact"/>
              <w:jc w:val="center"/>
              <w:rPr>
                <w:rFonts w:ascii="Times New Roman" w:hAnsi="Times New Roman" w:eastAsia="宋体"/>
                <w:sz w:val="24"/>
                <w:szCs w:val="24"/>
              </w:rPr>
            </w:pPr>
            <w:r>
              <w:rPr>
                <w:rFonts w:ascii="Times New Roman" w:hAnsi="Times New Roman" w:eastAsia="宋体"/>
                <w:bCs/>
                <w:sz w:val="24"/>
                <w:szCs w:val="24"/>
              </w:rPr>
              <w:t>85881606</w:t>
            </w:r>
          </w:p>
        </w:tc>
      </w:tr>
      <w:tr w14:paraId="543A47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14:paraId="4325D886">
            <w:pPr>
              <w:widowControl/>
              <w:ind w:left="-199" w:leftChars="-95" w:firstLine="216" w:firstLineChars="90"/>
              <w:jc w:val="center"/>
              <w:textAlignment w:val="center"/>
              <w:rPr>
                <w:rFonts w:ascii="Times New Roman" w:hAnsi="Times New Roman" w:eastAsia="宋体"/>
                <w:kern w:val="0"/>
                <w:sz w:val="24"/>
                <w:szCs w:val="24"/>
              </w:rPr>
            </w:pPr>
          </w:p>
        </w:tc>
        <w:tc>
          <w:tcPr>
            <w:tcW w:w="1873" w:type="dxa"/>
            <w:tcMar>
              <w:top w:w="15" w:type="dxa"/>
              <w:left w:w="15" w:type="dxa"/>
              <w:right w:w="15" w:type="dxa"/>
            </w:tcMar>
            <w:vAlign w:val="center"/>
          </w:tcPr>
          <w:p w14:paraId="2E7B21CD">
            <w:pPr>
              <w:spacing w:after="120" w:afterLines="50" w:line="400" w:lineRule="exact"/>
              <w:jc w:val="center"/>
              <w:rPr>
                <w:rFonts w:ascii="Times New Roman" w:hAnsi="Times New Roman" w:eastAsia="宋体"/>
                <w:sz w:val="24"/>
                <w:szCs w:val="24"/>
              </w:rPr>
            </w:pPr>
            <w:r>
              <w:rPr>
                <w:rFonts w:ascii="Times New Roman" w:hAnsi="Times New Roman" w:eastAsia="宋体"/>
                <w:bCs/>
                <w:sz w:val="24"/>
                <w:szCs w:val="24"/>
              </w:rPr>
              <w:t>主管单位责任人</w:t>
            </w:r>
          </w:p>
        </w:tc>
        <w:tc>
          <w:tcPr>
            <w:tcW w:w="930" w:type="dxa"/>
            <w:tcMar>
              <w:top w:w="15" w:type="dxa"/>
              <w:left w:w="15" w:type="dxa"/>
              <w:right w:w="15" w:type="dxa"/>
            </w:tcMar>
            <w:vAlign w:val="center"/>
          </w:tcPr>
          <w:p w14:paraId="414C2E3F">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赵  军</w:t>
            </w:r>
          </w:p>
        </w:tc>
        <w:tc>
          <w:tcPr>
            <w:tcW w:w="1815" w:type="dxa"/>
            <w:tcMar>
              <w:top w:w="15" w:type="dxa"/>
              <w:left w:w="15" w:type="dxa"/>
              <w:right w:w="15" w:type="dxa"/>
            </w:tcMar>
            <w:vAlign w:val="center"/>
          </w:tcPr>
          <w:p w14:paraId="47F57894">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朝阳街道</w:t>
            </w:r>
          </w:p>
        </w:tc>
        <w:tc>
          <w:tcPr>
            <w:tcW w:w="1600" w:type="dxa"/>
            <w:tcMar>
              <w:top w:w="15" w:type="dxa"/>
              <w:left w:w="15" w:type="dxa"/>
              <w:right w:w="15" w:type="dxa"/>
            </w:tcMar>
            <w:vAlign w:val="center"/>
          </w:tcPr>
          <w:p w14:paraId="20EEA953">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办事处副主任</w:t>
            </w:r>
          </w:p>
        </w:tc>
        <w:tc>
          <w:tcPr>
            <w:tcW w:w="1541" w:type="dxa"/>
            <w:tcMar>
              <w:top w:w="15" w:type="dxa"/>
              <w:left w:w="15" w:type="dxa"/>
              <w:right w:w="15" w:type="dxa"/>
            </w:tcMar>
            <w:vAlign w:val="center"/>
          </w:tcPr>
          <w:p w14:paraId="3C5D777D">
            <w:pPr>
              <w:spacing w:after="120" w:afterLines="50" w:line="400" w:lineRule="exact"/>
              <w:jc w:val="center"/>
              <w:rPr>
                <w:rFonts w:ascii="Times New Roman" w:hAnsi="Times New Roman" w:eastAsia="宋体"/>
                <w:sz w:val="24"/>
                <w:szCs w:val="24"/>
              </w:rPr>
            </w:pPr>
            <w:r>
              <w:rPr>
                <w:rFonts w:ascii="Times New Roman" w:hAnsi="Times New Roman" w:eastAsia="宋体"/>
                <w:bCs/>
                <w:sz w:val="24"/>
                <w:szCs w:val="24"/>
              </w:rPr>
              <w:t>13912166091</w:t>
            </w:r>
          </w:p>
        </w:tc>
      </w:tr>
      <w:tr w14:paraId="70AF62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14:paraId="7EF80345">
            <w:pPr>
              <w:widowControl/>
              <w:ind w:left="-199" w:leftChars="-95" w:firstLine="216" w:firstLineChars="90"/>
              <w:jc w:val="center"/>
              <w:textAlignment w:val="center"/>
              <w:rPr>
                <w:rFonts w:ascii="Times New Roman" w:hAnsi="Times New Roman" w:eastAsia="宋体"/>
                <w:kern w:val="0"/>
                <w:sz w:val="24"/>
                <w:szCs w:val="24"/>
              </w:rPr>
            </w:pPr>
          </w:p>
        </w:tc>
        <w:tc>
          <w:tcPr>
            <w:tcW w:w="1873" w:type="dxa"/>
            <w:tcMar>
              <w:top w:w="15" w:type="dxa"/>
              <w:left w:w="15" w:type="dxa"/>
              <w:right w:w="15" w:type="dxa"/>
            </w:tcMar>
            <w:vAlign w:val="center"/>
          </w:tcPr>
          <w:p w14:paraId="138DBB3F">
            <w:pPr>
              <w:spacing w:after="120" w:afterLines="50" w:line="400" w:lineRule="exact"/>
              <w:jc w:val="center"/>
              <w:rPr>
                <w:rFonts w:ascii="Times New Roman" w:hAnsi="Times New Roman" w:eastAsia="宋体"/>
                <w:sz w:val="24"/>
                <w:szCs w:val="24"/>
              </w:rPr>
            </w:pPr>
            <w:r>
              <w:rPr>
                <w:rFonts w:ascii="Times New Roman" w:hAnsi="Times New Roman" w:eastAsia="宋体"/>
                <w:bCs/>
                <w:sz w:val="24"/>
                <w:szCs w:val="24"/>
              </w:rPr>
              <w:t>技术责任人</w:t>
            </w:r>
          </w:p>
        </w:tc>
        <w:tc>
          <w:tcPr>
            <w:tcW w:w="930" w:type="dxa"/>
            <w:tcMar>
              <w:top w:w="15" w:type="dxa"/>
              <w:left w:w="15" w:type="dxa"/>
              <w:right w:w="15" w:type="dxa"/>
            </w:tcMar>
            <w:vAlign w:val="center"/>
          </w:tcPr>
          <w:p w14:paraId="71A80F5D">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刘玉功</w:t>
            </w:r>
          </w:p>
        </w:tc>
        <w:tc>
          <w:tcPr>
            <w:tcW w:w="1815" w:type="dxa"/>
            <w:tcMar>
              <w:top w:w="15" w:type="dxa"/>
              <w:left w:w="15" w:type="dxa"/>
              <w:right w:w="15" w:type="dxa"/>
            </w:tcMar>
            <w:vAlign w:val="center"/>
          </w:tcPr>
          <w:p w14:paraId="2B5A448F">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朝阳街道水利站</w:t>
            </w:r>
          </w:p>
        </w:tc>
        <w:tc>
          <w:tcPr>
            <w:tcW w:w="1600" w:type="dxa"/>
            <w:tcMar>
              <w:top w:w="15" w:type="dxa"/>
              <w:left w:w="15" w:type="dxa"/>
              <w:right w:w="15" w:type="dxa"/>
            </w:tcMar>
            <w:vAlign w:val="center"/>
          </w:tcPr>
          <w:p w14:paraId="614C100E">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副站长</w:t>
            </w:r>
          </w:p>
        </w:tc>
        <w:tc>
          <w:tcPr>
            <w:tcW w:w="1541" w:type="dxa"/>
            <w:tcMar>
              <w:top w:w="15" w:type="dxa"/>
              <w:left w:w="15" w:type="dxa"/>
              <w:right w:w="15" w:type="dxa"/>
            </w:tcMar>
            <w:vAlign w:val="center"/>
          </w:tcPr>
          <w:p w14:paraId="6152179E">
            <w:pPr>
              <w:spacing w:after="120" w:afterLines="50" w:line="400" w:lineRule="exact"/>
              <w:jc w:val="center"/>
              <w:rPr>
                <w:rFonts w:ascii="Times New Roman" w:hAnsi="Times New Roman" w:eastAsia="宋体"/>
                <w:sz w:val="24"/>
                <w:szCs w:val="24"/>
              </w:rPr>
            </w:pPr>
            <w:r>
              <w:rPr>
                <w:rFonts w:ascii="Times New Roman" w:hAnsi="Times New Roman" w:eastAsia="宋体"/>
                <w:bCs/>
                <w:sz w:val="24"/>
                <w:szCs w:val="24"/>
              </w:rPr>
              <w:t>15950759655</w:t>
            </w:r>
          </w:p>
        </w:tc>
      </w:tr>
      <w:tr w14:paraId="52FDBD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14:paraId="35372368">
            <w:pPr>
              <w:widowControl/>
              <w:ind w:left="-199" w:leftChars="-95" w:firstLine="216" w:firstLineChars="90"/>
              <w:jc w:val="center"/>
              <w:textAlignment w:val="center"/>
              <w:rPr>
                <w:rFonts w:ascii="Times New Roman" w:hAnsi="Times New Roman" w:eastAsia="宋体"/>
                <w:kern w:val="0"/>
                <w:sz w:val="24"/>
                <w:szCs w:val="24"/>
              </w:rPr>
            </w:pPr>
          </w:p>
        </w:tc>
        <w:tc>
          <w:tcPr>
            <w:tcW w:w="1873" w:type="dxa"/>
            <w:tcMar>
              <w:top w:w="15" w:type="dxa"/>
              <w:left w:w="15" w:type="dxa"/>
              <w:right w:w="15" w:type="dxa"/>
            </w:tcMar>
            <w:vAlign w:val="center"/>
          </w:tcPr>
          <w:p w14:paraId="7880FE61">
            <w:pPr>
              <w:spacing w:after="120" w:afterLines="50" w:line="400" w:lineRule="exact"/>
              <w:jc w:val="center"/>
              <w:rPr>
                <w:rFonts w:ascii="Times New Roman" w:hAnsi="Times New Roman" w:eastAsia="宋体"/>
                <w:sz w:val="24"/>
                <w:szCs w:val="24"/>
              </w:rPr>
            </w:pPr>
            <w:r>
              <w:rPr>
                <w:rFonts w:ascii="Times New Roman" w:hAnsi="Times New Roman" w:eastAsia="宋体"/>
                <w:bCs/>
                <w:sz w:val="24"/>
                <w:szCs w:val="24"/>
              </w:rPr>
              <w:t>管理单位（巡查）责任人</w:t>
            </w:r>
          </w:p>
        </w:tc>
        <w:tc>
          <w:tcPr>
            <w:tcW w:w="930" w:type="dxa"/>
            <w:tcMar>
              <w:top w:w="15" w:type="dxa"/>
              <w:left w:w="15" w:type="dxa"/>
              <w:right w:w="15" w:type="dxa"/>
            </w:tcMar>
            <w:vAlign w:val="center"/>
          </w:tcPr>
          <w:p w14:paraId="4A6DF17C">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李传满</w:t>
            </w:r>
          </w:p>
        </w:tc>
        <w:tc>
          <w:tcPr>
            <w:tcW w:w="1815" w:type="dxa"/>
            <w:tcMar>
              <w:top w:w="15" w:type="dxa"/>
              <w:left w:w="15" w:type="dxa"/>
              <w:right w:w="15" w:type="dxa"/>
            </w:tcMar>
            <w:vAlign w:val="center"/>
          </w:tcPr>
          <w:p w14:paraId="62C16658">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朝阳街道水利站</w:t>
            </w:r>
          </w:p>
        </w:tc>
        <w:tc>
          <w:tcPr>
            <w:tcW w:w="1600" w:type="dxa"/>
            <w:tcMar>
              <w:top w:w="15" w:type="dxa"/>
              <w:left w:w="15" w:type="dxa"/>
              <w:right w:w="15" w:type="dxa"/>
            </w:tcMar>
            <w:vAlign w:val="center"/>
          </w:tcPr>
          <w:p w14:paraId="779914F0">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职  工</w:t>
            </w:r>
          </w:p>
        </w:tc>
        <w:tc>
          <w:tcPr>
            <w:tcW w:w="1541" w:type="dxa"/>
            <w:tcMar>
              <w:top w:w="15" w:type="dxa"/>
              <w:left w:w="15" w:type="dxa"/>
              <w:right w:w="15" w:type="dxa"/>
            </w:tcMar>
            <w:vAlign w:val="center"/>
          </w:tcPr>
          <w:p w14:paraId="35433C4A">
            <w:pPr>
              <w:spacing w:after="120" w:afterLines="50" w:line="400" w:lineRule="exact"/>
              <w:jc w:val="center"/>
              <w:rPr>
                <w:rFonts w:ascii="Times New Roman" w:hAnsi="Times New Roman" w:eastAsia="宋体"/>
                <w:sz w:val="24"/>
                <w:szCs w:val="24"/>
              </w:rPr>
            </w:pPr>
            <w:r>
              <w:rPr>
                <w:rFonts w:ascii="Times New Roman" w:hAnsi="Times New Roman" w:eastAsia="宋体"/>
                <w:bCs/>
                <w:sz w:val="24"/>
                <w:szCs w:val="24"/>
              </w:rPr>
              <w:t>18936615184</w:t>
            </w:r>
          </w:p>
        </w:tc>
      </w:tr>
      <w:tr w14:paraId="7DB555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restart"/>
            <w:tcMar>
              <w:top w:w="15" w:type="dxa"/>
              <w:left w:w="15" w:type="dxa"/>
              <w:right w:w="15" w:type="dxa"/>
            </w:tcMar>
            <w:vAlign w:val="center"/>
          </w:tcPr>
          <w:p w14:paraId="58AAECBE">
            <w:pPr>
              <w:widowControl/>
              <w:tabs>
                <w:tab w:val="left" w:pos="257"/>
              </w:tabs>
              <w:ind w:left="-199" w:leftChars="-95" w:firstLine="216" w:firstLineChars="90"/>
              <w:jc w:val="center"/>
              <w:textAlignment w:val="center"/>
              <w:rPr>
                <w:rFonts w:ascii="Times New Roman" w:hAnsi="Times New Roman" w:eastAsia="宋体"/>
                <w:kern w:val="0"/>
                <w:sz w:val="24"/>
                <w:szCs w:val="24"/>
              </w:rPr>
            </w:pPr>
            <w:r>
              <w:rPr>
                <w:rFonts w:ascii="Times New Roman" w:hAnsi="Times New Roman" w:eastAsia="宋体"/>
                <w:kern w:val="0"/>
                <w:sz w:val="24"/>
                <w:szCs w:val="24"/>
              </w:rPr>
              <w:t>云门</w:t>
            </w:r>
          </w:p>
          <w:p w14:paraId="48E6B39F">
            <w:pPr>
              <w:widowControl/>
              <w:tabs>
                <w:tab w:val="left" w:pos="257"/>
              </w:tabs>
              <w:ind w:left="-199" w:leftChars="-95" w:firstLine="216" w:firstLineChars="90"/>
              <w:jc w:val="center"/>
              <w:textAlignment w:val="center"/>
              <w:rPr>
                <w:rFonts w:ascii="Times New Roman" w:hAnsi="Times New Roman" w:eastAsia="宋体"/>
                <w:kern w:val="0"/>
                <w:sz w:val="24"/>
                <w:szCs w:val="24"/>
              </w:rPr>
            </w:pPr>
            <w:r>
              <w:rPr>
                <w:rFonts w:ascii="Times New Roman" w:hAnsi="Times New Roman" w:eastAsia="宋体"/>
                <w:kern w:val="0"/>
                <w:sz w:val="24"/>
                <w:szCs w:val="24"/>
              </w:rPr>
              <w:t>水库</w:t>
            </w:r>
          </w:p>
        </w:tc>
        <w:tc>
          <w:tcPr>
            <w:tcW w:w="1873" w:type="dxa"/>
            <w:tcMar>
              <w:top w:w="15" w:type="dxa"/>
              <w:left w:w="15" w:type="dxa"/>
              <w:right w:w="15" w:type="dxa"/>
            </w:tcMar>
            <w:vAlign w:val="center"/>
          </w:tcPr>
          <w:p w14:paraId="0AD37387">
            <w:pPr>
              <w:spacing w:after="120" w:afterLines="50" w:line="520" w:lineRule="exact"/>
              <w:jc w:val="center"/>
              <w:rPr>
                <w:rFonts w:ascii="Times New Roman" w:hAnsi="Times New Roman" w:eastAsia="宋体"/>
                <w:sz w:val="24"/>
                <w:szCs w:val="24"/>
              </w:rPr>
            </w:pPr>
            <w:r>
              <w:rPr>
                <w:rFonts w:ascii="Times New Roman" w:hAnsi="Times New Roman" w:eastAsia="宋体"/>
                <w:bCs/>
                <w:sz w:val="24"/>
                <w:szCs w:val="24"/>
              </w:rPr>
              <w:t>水库安全政府（防汛行政）责任人</w:t>
            </w:r>
          </w:p>
        </w:tc>
        <w:tc>
          <w:tcPr>
            <w:tcW w:w="930" w:type="dxa"/>
            <w:tcMar>
              <w:top w:w="15" w:type="dxa"/>
              <w:left w:w="15" w:type="dxa"/>
              <w:right w:w="15" w:type="dxa"/>
            </w:tcMar>
            <w:vAlign w:val="center"/>
          </w:tcPr>
          <w:p w14:paraId="32E62462">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王  琪</w:t>
            </w:r>
          </w:p>
        </w:tc>
        <w:tc>
          <w:tcPr>
            <w:tcW w:w="1815" w:type="dxa"/>
            <w:tcMar>
              <w:top w:w="15" w:type="dxa"/>
              <w:left w:w="15" w:type="dxa"/>
              <w:right w:w="15" w:type="dxa"/>
            </w:tcMar>
            <w:vAlign w:val="center"/>
          </w:tcPr>
          <w:p w14:paraId="74EFD102">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开发区管委会</w:t>
            </w:r>
          </w:p>
        </w:tc>
        <w:tc>
          <w:tcPr>
            <w:tcW w:w="1600" w:type="dxa"/>
            <w:tcMar>
              <w:top w:w="15" w:type="dxa"/>
              <w:left w:w="15" w:type="dxa"/>
              <w:right w:w="15" w:type="dxa"/>
            </w:tcMar>
            <w:vAlign w:val="center"/>
          </w:tcPr>
          <w:p w14:paraId="310A0B39">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副主任</w:t>
            </w:r>
          </w:p>
        </w:tc>
        <w:tc>
          <w:tcPr>
            <w:tcW w:w="1541" w:type="dxa"/>
            <w:tcMar>
              <w:top w:w="15" w:type="dxa"/>
              <w:left w:w="15" w:type="dxa"/>
              <w:right w:w="15" w:type="dxa"/>
            </w:tcMar>
            <w:vAlign w:val="center"/>
          </w:tcPr>
          <w:p w14:paraId="64AFFE7A">
            <w:pPr>
              <w:spacing w:after="120" w:afterLines="50" w:line="520" w:lineRule="exact"/>
              <w:jc w:val="center"/>
              <w:rPr>
                <w:rFonts w:ascii="Times New Roman" w:hAnsi="Times New Roman" w:eastAsia="宋体"/>
                <w:sz w:val="24"/>
                <w:szCs w:val="24"/>
              </w:rPr>
            </w:pPr>
            <w:r>
              <w:rPr>
                <w:rFonts w:ascii="Times New Roman" w:hAnsi="Times New Roman" w:eastAsia="宋体"/>
                <w:bCs/>
                <w:sz w:val="24"/>
                <w:szCs w:val="24"/>
              </w:rPr>
              <w:t>85881606</w:t>
            </w:r>
          </w:p>
        </w:tc>
      </w:tr>
      <w:tr w14:paraId="42B1E0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14:paraId="7272D30A">
            <w:pPr>
              <w:widowControl/>
              <w:ind w:left="-199" w:leftChars="-95" w:firstLine="216" w:firstLineChars="90"/>
              <w:jc w:val="center"/>
              <w:textAlignment w:val="center"/>
              <w:rPr>
                <w:rFonts w:ascii="Times New Roman" w:hAnsi="Times New Roman" w:eastAsia="宋体"/>
                <w:kern w:val="0"/>
                <w:sz w:val="24"/>
                <w:szCs w:val="24"/>
              </w:rPr>
            </w:pPr>
          </w:p>
        </w:tc>
        <w:tc>
          <w:tcPr>
            <w:tcW w:w="1873" w:type="dxa"/>
            <w:tcMar>
              <w:top w:w="15" w:type="dxa"/>
              <w:left w:w="15" w:type="dxa"/>
              <w:right w:w="15" w:type="dxa"/>
            </w:tcMar>
            <w:vAlign w:val="center"/>
          </w:tcPr>
          <w:p w14:paraId="2C7733AD">
            <w:pPr>
              <w:spacing w:after="120" w:afterLines="50" w:line="520" w:lineRule="exact"/>
              <w:jc w:val="center"/>
              <w:rPr>
                <w:rFonts w:ascii="Times New Roman" w:hAnsi="Times New Roman" w:eastAsia="宋体"/>
                <w:sz w:val="24"/>
                <w:szCs w:val="24"/>
              </w:rPr>
            </w:pPr>
            <w:r>
              <w:rPr>
                <w:rFonts w:ascii="Times New Roman" w:hAnsi="Times New Roman" w:eastAsia="宋体"/>
                <w:bCs/>
                <w:sz w:val="24"/>
                <w:szCs w:val="24"/>
              </w:rPr>
              <w:t>主管单位责任人</w:t>
            </w:r>
          </w:p>
        </w:tc>
        <w:tc>
          <w:tcPr>
            <w:tcW w:w="930" w:type="dxa"/>
            <w:tcMar>
              <w:top w:w="15" w:type="dxa"/>
              <w:left w:w="15" w:type="dxa"/>
              <w:right w:w="15" w:type="dxa"/>
            </w:tcMar>
            <w:vAlign w:val="center"/>
          </w:tcPr>
          <w:p w14:paraId="7772C342">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韩  艳</w:t>
            </w:r>
          </w:p>
        </w:tc>
        <w:tc>
          <w:tcPr>
            <w:tcW w:w="1815" w:type="dxa"/>
            <w:tcMar>
              <w:top w:w="15" w:type="dxa"/>
              <w:left w:w="15" w:type="dxa"/>
              <w:right w:w="15" w:type="dxa"/>
            </w:tcMar>
            <w:vAlign w:val="center"/>
          </w:tcPr>
          <w:p w14:paraId="0C035822">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中云街道</w:t>
            </w:r>
          </w:p>
        </w:tc>
        <w:tc>
          <w:tcPr>
            <w:tcW w:w="1600" w:type="dxa"/>
            <w:tcMar>
              <w:top w:w="15" w:type="dxa"/>
              <w:left w:w="15" w:type="dxa"/>
              <w:right w:w="15" w:type="dxa"/>
            </w:tcMar>
            <w:vAlign w:val="center"/>
          </w:tcPr>
          <w:p w14:paraId="75544A04">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党工委书记</w:t>
            </w:r>
          </w:p>
        </w:tc>
        <w:tc>
          <w:tcPr>
            <w:tcW w:w="1541" w:type="dxa"/>
            <w:tcMar>
              <w:top w:w="15" w:type="dxa"/>
              <w:left w:w="15" w:type="dxa"/>
              <w:right w:w="15" w:type="dxa"/>
            </w:tcMar>
            <w:vAlign w:val="center"/>
          </w:tcPr>
          <w:p w14:paraId="71405D68">
            <w:pPr>
              <w:spacing w:after="120" w:afterLines="50" w:line="520" w:lineRule="exact"/>
              <w:jc w:val="center"/>
              <w:rPr>
                <w:rFonts w:ascii="Times New Roman" w:hAnsi="Times New Roman" w:eastAsia="宋体"/>
                <w:sz w:val="24"/>
                <w:szCs w:val="24"/>
              </w:rPr>
            </w:pPr>
            <w:r>
              <w:rPr>
                <w:rFonts w:ascii="Times New Roman" w:hAnsi="Times New Roman" w:eastAsia="宋体"/>
                <w:bCs/>
                <w:sz w:val="24"/>
                <w:szCs w:val="24"/>
              </w:rPr>
              <w:t>13812346543</w:t>
            </w:r>
          </w:p>
        </w:tc>
      </w:tr>
      <w:tr w14:paraId="122D93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14:paraId="5B89FA6F">
            <w:pPr>
              <w:widowControl/>
              <w:ind w:left="-199" w:leftChars="-95" w:firstLine="216" w:firstLineChars="90"/>
              <w:jc w:val="center"/>
              <w:textAlignment w:val="center"/>
              <w:rPr>
                <w:rFonts w:ascii="Times New Roman" w:hAnsi="Times New Roman" w:eastAsia="宋体"/>
                <w:kern w:val="0"/>
                <w:sz w:val="24"/>
                <w:szCs w:val="24"/>
              </w:rPr>
            </w:pPr>
          </w:p>
        </w:tc>
        <w:tc>
          <w:tcPr>
            <w:tcW w:w="1873" w:type="dxa"/>
            <w:tcMar>
              <w:top w:w="15" w:type="dxa"/>
              <w:left w:w="15" w:type="dxa"/>
              <w:right w:w="15" w:type="dxa"/>
            </w:tcMar>
            <w:vAlign w:val="center"/>
          </w:tcPr>
          <w:p w14:paraId="108D629D">
            <w:pPr>
              <w:spacing w:after="120" w:afterLines="50" w:line="520" w:lineRule="exact"/>
              <w:jc w:val="center"/>
              <w:rPr>
                <w:rFonts w:ascii="Times New Roman" w:hAnsi="Times New Roman" w:eastAsia="宋体"/>
                <w:sz w:val="24"/>
                <w:szCs w:val="24"/>
              </w:rPr>
            </w:pPr>
            <w:r>
              <w:rPr>
                <w:rFonts w:ascii="Times New Roman" w:hAnsi="Times New Roman" w:eastAsia="宋体"/>
                <w:bCs/>
                <w:sz w:val="24"/>
                <w:szCs w:val="24"/>
              </w:rPr>
              <w:t>技术责任人</w:t>
            </w:r>
          </w:p>
        </w:tc>
        <w:tc>
          <w:tcPr>
            <w:tcW w:w="930" w:type="dxa"/>
            <w:tcMar>
              <w:top w:w="15" w:type="dxa"/>
              <w:left w:w="15" w:type="dxa"/>
              <w:right w:w="15" w:type="dxa"/>
            </w:tcMar>
            <w:vAlign w:val="center"/>
          </w:tcPr>
          <w:p w14:paraId="20A67A59">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王金海</w:t>
            </w:r>
          </w:p>
        </w:tc>
        <w:tc>
          <w:tcPr>
            <w:tcW w:w="1815" w:type="dxa"/>
            <w:tcMar>
              <w:top w:w="15" w:type="dxa"/>
              <w:left w:w="15" w:type="dxa"/>
              <w:right w:w="15" w:type="dxa"/>
            </w:tcMar>
            <w:vAlign w:val="center"/>
          </w:tcPr>
          <w:p w14:paraId="390BADB2">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中云街道水利站</w:t>
            </w:r>
          </w:p>
        </w:tc>
        <w:tc>
          <w:tcPr>
            <w:tcW w:w="1600" w:type="dxa"/>
            <w:tcMar>
              <w:top w:w="15" w:type="dxa"/>
              <w:left w:w="15" w:type="dxa"/>
              <w:right w:w="15" w:type="dxa"/>
            </w:tcMar>
            <w:vAlign w:val="center"/>
          </w:tcPr>
          <w:p w14:paraId="4A131B7D">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站  长</w:t>
            </w:r>
          </w:p>
        </w:tc>
        <w:tc>
          <w:tcPr>
            <w:tcW w:w="1541" w:type="dxa"/>
            <w:tcMar>
              <w:top w:w="15" w:type="dxa"/>
              <w:left w:w="15" w:type="dxa"/>
              <w:right w:w="15" w:type="dxa"/>
            </w:tcMar>
            <w:vAlign w:val="center"/>
          </w:tcPr>
          <w:p w14:paraId="324975ED">
            <w:pPr>
              <w:spacing w:after="120" w:afterLines="50" w:line="520" w:lineRule="exact"/>
              <w:jc w:val="center"/>
              <w:rPr>
                <w:rFonts w:ascii="Times New Roman" w:hAnsi="Times New Roman" w:eastAsia="宋体"/>
                <w:sz w:val="24"/>
                <w:szCs w:val="24"/>
              </w:rPr>
            </w:pPr>
            <w:r>
              <w:rPr>
                <w:rFonts w:ascii="Times New Roman" w:hAnsi="Times New Roman" w:eastAsia="宋体"/>
                <w:bCs/>
                <w:sz w:val="24"/>
                <w:szCs w:val="24"/>
              </w:rPr>
              <w:t>13776592978</w:t>
            </w:r>
          </w:p>
        </w:tc>
      </w:tr>
      <w:tr w14:paraId="0EFDDD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14:paraId="0B06D0A4">
            <w:pPr>
              <w:widowControl/>
              <w:ind w:left="-199" w:leftChars="-95" w:firstLine="216" w:firstLineChars="90"/>
              <w:jc w:val="center"/>
              <w:textAlignment w:val="center"/>
              <w:rPr>
                <w:rFonts w:ascii="Times New Roman" w:hAnsi="Times New Roman" w:eastAsia="宋体"/>
                <w:kern w:val="0"/>
                <w:sz w:val="24"/>
                <w:szCs w:val="24"/>
              </w:rPr>
            </w:pPr>
          </w:p>
        </w:tc>
        <w:tc>
          <w:tcPr>
            <w:tcW w:w="1873" w:type="dxa"/>
            <w:tcMar>
              <w:top w:w="15" w:type="dxa"/>
              <w:left w:w="15" w:type="dxa"/>
              <w:right w:w="15" w:type="dxa"/>
            </w:tcMar>
            <w:vAlign w:val="center"/>
          </w:tcPr>
          <w:p w14:paraId="2FBFCA0E">
            <w:pPr>
              <w:spacing w:after="120" w:afterLines="50" w:line="520" w:lineRule="exact"/>
              <w:jc w:val="center"/>
              <w:rPr>
                <w:rFonts w:ascii="Times New Roman" w:hAnsi="Times New Roman" w:eastAsia="宋体"/>
                <w:sz w:val="24"/>
                <w:szCs w:val="24"/>
              </w:rPr>
            </w:pPr>
            <w:r>
              <w:rPr>
                <w:rFonts w:ascii="Times New Roman" w:hAnsi="Times New Roman" w:eastAsia="宋体"/>
                <w:bCs/>
                <w:sz w:val="24"/>
                <w:szCs w:val="24"/>
              </w:rPr>
              <w:t>管理单位（巡查）责任人</w:t>
            </w:r>
          </w:p>
        </w:tc>
        <w:tc>
          <w:tcPr>
            <w:tcW w:w="930" w:type="dxa"/>
            <w:tcMar>
              <w:top w:w="15" w:type="dxa"/>
              <w:left w:w="15" w:type="dxa"/>
              <w:right w:w="15" w:type="dxa"/>
            </w:tcMar>
            <w:vAlign w:val="center"/>
          </w:tcPr>
          <w:p w14:paraId="09F554D6">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刘志国</w:t>
            </w:r>
          </w:p>
        </w:tc>
        <w:tc>
          <w:tcPr>
            <w:tcW w:w="1815" w:type="dxa"/>
            <w:tcMar>
              <w:top w:w="15" w:type="dxa"/>
              <w:left w:w="15" w:type="dxa"/>
              <w:right w:w="15" w:type="dxa"/>
            </w:tcMar>
            <w:vAlign w:val="center"/>
          </w:tcPr>
          <w:p w14:paraId="4623CB27">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朝阳街道水利站</w:t>
            </w:r>
          </w:p>
        </w:tc>
        <w:tc>
          <w:tcPr>
            <w:tcW w:w="1600" w:type="dxa"/>
            <w:tcMar>
              <w:top w:w="15" w:type="dxa"/>
              <w:left w:w="15" w:type="dxa"/>
              <w:right w:w="15" w:type="dxa"/>
            </w:tcMar>
            <w:vAlign w:val="center"/>
          </w:tcPr>
          <w:p w14:paraId="0EBD0CE0">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职  工</w:t>
            </w:r>
          </w:p>
        </w:tc>
        <w:tc>
          <w:tcPr>
            <w:tcW w:w="1541" w:type="dxa"/>
            <w:tcMar>
              <w:top w:w="15" w:type="dxa"/>
              <w:left w:w="15" w:type="dxa"/>
              <w:right w:w="15" w:type="dxa"/>
            </w:tcMar>
            <w:vAlign w:val="center"/>
          </w:tcPr>
          <w:p w14:paraId="7182DA7A">
            <w:pPr>
              <w:spacing w:after="120" w:afterLines="50" w:line="520" w:lineRule="exact"/>
              <w:jc w:val="center"/>
              <w:rPr>
                <w:rFonts w:ascii="Times New Roman" w:hAnsi="Times New Roman" w:eastAsia="宋体"/>
                <w:sz w:val="24"/>
                <w:szCs w:val="24"/>
              </w:rPr>
            </w:pPr>
            <w:r>
              <w:rPr>
                <w:rFonts w:ascii="Times New Roman" w:hAnsi="Times New Roman" w:eastAsia="宋体"/>
                <w:bCs/>
                <w:sz w:val="24"/>
                <w:szCs w:val="24"/>
              </w:rPr>
              <w:t>13775585575</w:t>
            </w:r>
          </w:p>
        </w:tc>
      </w:tr>
      <w:tr w14:paraId="2EF1E3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restart"/>
            <w:tcMar>
              <w:top w:w="15" w:type="dxa"/>
              <w:left w:w="15" w:type="dxa"/>
              <w:right w:w="15" w:type="dxa"/>
            </w:tcMar>
            <w:vAlign w:val="center"/>
          </w:tcPr>
          <w:p w14:paraId="646874F3">
            <w:pPr>
              <w:widowControl/>
              <w:ind w:left="-199" w:leftChars="-95" w:firstLine="216" w:firstLineChars="90"/>
              <w:jc w:val="center"/>
              <w:textAlignment w:val="center"/>
              <w:rPr>
                <w:rFonts w:ascii="Times New Roman" w:hAnsi="Times New Roman" w:eastAsia="宋体"/>
                <w:kern w:val="0"/>
                <w:sz w:val="24"/>
                <w:szCs w:val="24"/>
              </w:rPr>
            </w:pPr>
            <w:r>
              <w:rPr>
                <w:rFonts w:ascii="Times New Roman" w:hAnsi="Times New Roman" w:eastAsia="宋体"/>
                <w:kern w:val="0"/>
                <w:sz w:val="24"/>
                <w:szCs w:val="24"/>
              </w:rPr>
              <w:t>胜利</w:t>
            </w:r>
          </w:p>
          <w:p w14:paraId="33351734">
            <w:pPr>
              <w:widowControl/>
              <w:ind w:left="-199" w:leftChars="-95" w:firstLine="216" w:firstLineChars="90"/>
              <w:jc w:val="center"/>
              <w:textAlignment w:val="center"/>
              <w:rPr>
                <w:rFonts w:ascii="Times New Roman" w:hAnsi="Times New Roman" w:eastAsia="宋体"/>
                <w:kern w:val="0"/>
                <w:sz w:val="24"/>
                <w:szCs w:val="24"/>
              </w:rPr>
            </w:pPr>
            <w:r>
              <w:rPr>
                <w:rFonts w:ascii="Times New Roman" w:hAnsi="Times New Roman" w:eastAsia="宋体"/>
                <w:kern w:val="0"/>
                <w:sz w:val="24"/>
                <w:szCs w:val="24"/>
              </w:rPr>
              <w:t>水库</w:t>
            </w:r>
          </w:p>
        </w:tc>
        <w:tc>
          <w:tcPr>
            <w:tcW w:w="1873" w:type="dxa"/>
            <w:tcMar>
              <w:top w:w="15" w:type="dxa"/>
              <w:left w:w="15" w:type="dxa"/>
              <w:right w:w="15" w:type="dxa"/>
            </w:tcMar>
            <w:vAlign w:val="center"/>
          </w:tcPr>
          <w:p w14:paraId="56A443E2">
            <w:pPr>
              <w:spacing w:line="480" w:lineRule="exact"/>
              <w:jc w:val="center"/>
              <w:rPr>
                <w:rFonts w:ascii="Times New Roman" w:hAnsi="Times New Roman" w:eastAsia="宋体"/>
                <w:sz w:val="24"/>
                <w:szCs w:val="24"/>
              </w:rPr>
            </w:pPr>
            <w:r>
              <w:rPr>
                <w:rFonts w:ascii="Times New Roman" w:hAnsi="Times New Roman" w:eastAsia="宋体"/>
                <w:bCs/>
                <w:sz w:val="24"/>
                <w:szCs w:val="24"/>
              </w:rPr>
              <w:t>水库安全政府（防汛行政）责任人</w:t>
            </w:r>
          </w:p>
        </w:tc>
        <w:tc>
          <w:tcPr>
            <w:tcW w:w="930" w:type="dxa"/>
            <w:tcMar>
              <w:top w:w="15" w:type="dxa"/>
              <w:left w:w="15" w:type="dxa"/>
              <w:right w:w="15" w:type="dxa"/>
            </w:tcMar>
            <w:vAlign w:val="center"/>
          </w:tcPr>
          <w:p w14:paraId="36396F06">
            <w:pPr>
              <w:spacing w:line="480" w:lineRule="exact"/>
              <w:jc w:val="center"/>
              <w:rPr>
                <w:rFonts w:ascii="Times New Roman" w:hAnsi="Times New Roman" w:eastAsia="宋体"/>
                <w:kern w:val="0"/>
                <w:sz w:val="24"/>
                <w:szCs w:val="24"/>
              </w:rPr>
            </w:pPr>
            <w:r>
              <w:rPr>
                <w:rFonts w:ascii="Times New Roman" w:hAnsi="Times New Roman" w:eastAsia="宋体"/>
                <w:bCs/>
                <w:sz w:val="24"/>
                <w:szCs w:val="24"/>
              </w:rPr>
              <w:t>王  琪</w:t>
            </w:r>
          </w:p>
        </w:tc>
        <w:tc>
          <w:tcPr>
            <w:tcW w:w="1815" w:type="dxa"/>
            <w:tcMar>
              <w:top w:w="15" w:type="dxa"/>
              <w:left w:w="15" w:type="dxa"/>
              <w:right w:w="15" w:type="dxa"/>
            </w:tcMar>
            <w:vAlign w:val="center"/>
          </w:tcPr>
          <w:p w14:paraId="3E545CE2">
            <w:pPr>
              <w:spacing w:line="480" w:lineRule="exact"/>
              <w:jc w:val="center"/>
              <w:rPr>
                <w:rFonts w:ascii="Times New Roman" w:hAnsi="Times New Roman" w:eastAsia="宋体"/>
                <w:kern w:val="0"/>
                <w:sz w:val="24"/>
                <w:szCs w:val="24"/>
              </w:rPr>
            </w:pPr>
            <w:r>
              <w:rPr>
                <w:rFonts w:ascii="Times New Roman" w:hAnsi="Times New Roman" w:eastAsia="宋体"/>
                <w:bCs/>
                <w:sz w:val="24"/>
                <w:szCs w:val="24"/>
              </w:rPr>
              <w:t>开发区管委会</w:t>
            </w:r>
          </w:p>
        </w:tc>
        <w:tc>
          <w:tcPr>
            <w:tcW w:w="1600" w:type="dxa"/>
            <w:tcMar>
              <w:top w:w="15" w:type="dxa"/>
              <w:left w:w="15" w:type="dxa"/>
              <w:right w:w="15" w:type="dxa"/>
            </w:tcMar>
            <w:vAlign w:val="center"/>
          </w:tcPr>
          <w:p w14:paraId="409D6942">
            <w:pPr>
              <w:spacing w:line="480" w:lineRule="exact"/>
              <w:jc w:val="center"/>
              <w:rPr>
                <w:rFonts w:ascii="Times New Roman" w:hAnsi="Times New Roman" w:eastAsia="宋体"/>
                <w:kern w:val="0"/>
                <w:sz w:val="24"/>
                <w:szCs w:val="24"/>
              </w:rPr>
            </w:pPr>
            <w:r>
              <w:rPr>
                <w:rFonts w:ascii="Times New Roman" w:hAnsi="Times New Roman" w:eastAsia="宋体"/>
                <w:bCs/>
                <w:sz w:val="24"/>
                <w:szCs w:val="24"/>
              </w:rPr>
              <w:t>副主任</w:t>
            </w:r>
          </w:p>
        </w:tc>
        <w:tc>
          <w:tcPr>
            <w:tcW w:w="1541" w:type="dxa"/>
            <w:tcMar>
              <w:top w:w="15" w:type="dxa"/>
              <w:left w:w="15" w:type="dxa"/>
              <w:right w:w="15" w:type="dxa"/>
            </w:tcMar>
            <w:vAlign w:val="center"/>
          </w:tcPr>
          <w:p w14:paraId="7D32096A">
            <w:pPr>
              <w:spacing w:line="480" w:lineRule="exact"/>
              <w:jc w:val="center"/>
              <w:rPr>
                <w:rFonts w:ascii="Times New Roman" w:hAnsi="Times New Roman" w:eastAsia="宋体"/>
                <w:sz w:val="24"/>
                <w:szCs w:val="24"/>
              </w:rPr>
            </w:pPr>
            <w:r>
              <w:rPr>
                <w:rFonts w:ascii="Times New Roman" w:hAnsi="Times New Roman" w:eastAsia="宋体"/>
                <w:bCs/>
                <w:sz w:val="24"/>
                <w:szCs w:val="24"/>
              </w:rPr>
              <w:t>85881606</w:t>
            </w:r>
          </w:p>
        </w:tc>
      </w:tr>
      <w:tr w14:paraId="5F81AF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14:paraId="12B3B254">
            <w:pPr>
              <w:widowControl/>
              <w:ind w:left="-199" w:leftChars="-95" w:firstLine="216" w:firstLineChars="90"/>
              <w:jc w:val="center"/>
              <w:textAlignment w:val="center"/>
              <w:rPr>
                <w:rFonts w:ascii="Times New Roman" w:hAnsi="Times New Roman" w:eastAsia="宋体"/>
                <w:sz w:val="24"/>
                <w:szCs w:val="24"/>
              </w:rPr>
            </w:pPr>
          </w:p>
        </w:tc>
        <w:tc>
          <w:tcPr>
            <w:tcW w:w="1873" w:type="dxa"/>
            <w:tcMar>
              <w:top w:w="15" w:type="dxa"/>
              <w:left w:w="15" w:type="dxa"/>
              <w:right w:w="15" w:type="dxa"/>
            </w:tcMar>
            <w:vAlign w:val="center"/>
          </w:tcPr>
          <w:p w14:paraId="020DA820">
            <w:pPr>
              <w:spacing w:line="480" w:lineRule="exact"/>
              <w:jc w:val="center"/>
              <w:rPr>
                <w:rFonts w:ascii="Times New Roman" w:hAnsi="Times New Roman" w:eastAsia="宋体"/>
                <w:sz w:val="24"/>
                <w:szCs w:val="24"/>
              </w:rPr>
            </w:pPr>
            <w:r>
              <w:rPr>
                <w:rFonts w:ascii="Times New Roman" w:hAnsi="Times New Roman" w:eastAsia="宋体"/>
                <w:bCs/>
                <w:sz w:val="24"/>
                <w:szCs w:val="24"/>
              </w:rPr>
              <w:t>主管单位责任人</w:t>
            </w:r>
          </w:p>
        </w:tc>
        <w:tc>
          <w:tcPr>
            <w:tcW w:w="930" w:type="dxa"/>
            <w:tcMar>
              <w:top w:w="15" w:type="dxa"/>
              <w:left w:w="15" w:type="dxa"/>
              <w:right w:w="15" w:type="dxa"/>
            </w:tcMar>
            <w:vAlign w:val="center"/>
          </w:tcPr>
          <w:p w14:paraId="58B1E616">
            <w:pPr>
              <w:spacing w:line="480" w:lineRule="exact"/>
              <w:jc w:val="center"/>
              <w:rPr>
                <w:rFonts w:ascii="Times New Roman" w:hAnsi="Times New Roman" w:eastAsia="宋体"/>
                <w:sz w:val="24"/>
                <w:szCs w:val="24"/>
              </w:rPr>
            </w:pPr>
            <w:r>
              <w:rPr>
                <w:rFonts w:ascii="Times New Roman" w:hAnsi="Times New Roman" w:eastAsia="宋体"/>
                <w:bCs/>
                <w:sz w:val="24"/>
                <w:szCs w:val="24"/>
              </w:rPr>
              <w:t>王  钢</w:t>
            </w:r>
          </w:p>
        </w:tc>
        <w:tc>
          <w:tcPr>
            <w:tcW w:w="1815" w:type="dxa"/>
            <w:tcMar>
              <w:top w:w="15" w:type="dxa"/>
              <w:left w:w="15" w:type="dxa"/>
              <w:right w:w="15" w:type="dxa"/>
            </w:tcMar>
            <w:vAlign w:val="center"/>
          </w:tcPr>
          <w:p w14:paraId="5B25D87F">
            <w:pPr>
              <w:spacing w:line="480" w:lineRule="exact"/>
              <w:jc w:val="center"/>
              <w:rPr>
                <w:rFonts w:ascii="Times New Roman" w:hAnsi="Times New Roman" w:eastAsia="宋体"/>
                <w:sz w:val="24"/>
                <w:szCs w:val="24"/>
              </w:rPr>
            </w:pPr>
            <w:r>
              <w:rPr>
                <w:rFonts w:ascii="Times New Roman" w:hAnsi="Times New Roman" w:eastAsia="宋体"/>
                <w:bCs/>
                <w:sz w:val="24"/>
                <w:szCs w:val="24"/>
              </w:rPr>
              <w:t>中云街道</w:t>
            </w:r>
          </w:p>
        </w:tc>
        <w:tc>
          <w:tcPr>
            <w:tcW w:w="1600" w:type="dxa"/>
            <w:tcMar>
              <w:top w:w="15" w:type="dxa"/>
              <w:left w:w="15" w:type="dxa"/>
              <w:right w:w="15" w:type="dxa"/>
            </w:tcMar>
            <w:vAlign w:val="center"/>
          </w:tcPr>
          <w:p w14:paraId="75EF48FD">
            <w:pPr>
              <w:spacing w:line="480" w:lineRule="exact"/>
              <w:jc w:val="center"/>
              <w:rPr>
                <w:rFonts w:ascii="Times New Roman" w:hAnsi="Times New Roman" w:eastAsia="宋体"/>
                <w:sz w:val="24"/>
                <w:szCs w:val="24"/>
              </w:rPr>
            </w:pPr>
            <w:r>
              <w:rPr>
                <w:rFonts w:ascii="Times New Roman" w:hAnsi="Times New Roman" w:eastAsia="宋体"/>
                <w:bCs/>
                <w:sz w:val="24"/>
                <w:szCs w:val="24"/>
              </w:rPr>
              <w:t>办事处主任</w:t>
            </w:r>
          </w:p>
        </w:tc>
        <w:tc>
          <w:tcPr>
            <w:tcW w:w="1541" w:type="dxa"/>
            <w:tcMar>
              <w:top w:w="15" w:type="dxa"/>
              <w:left w:w="15" w:type="dxa"/>
              <w:right w:w="15" w:type="dxa"/>
            </w:tcMar>
            <w:vAlign w:val="center"/>
          </w:tcPr>
          <w:p w14:paraId="2698AC5C">
            <w:pPr>
              <w:spacing w:line="480" w:lineRule="exact"/>
              <w:jc w:val="center"/>
              <w:rPr>
                <w:rFonts w:ascii="Times New Roman" w:hAnsi="Times New Roman" w:eastAsia="宋体"/>
                <w:sz w:val="24"/>
                <w:szCs w:val="24"/>
              </w:rPr>
            </w:pPr>
            <w:r>
              <w:rPr>
                <w:rFonts w:ascii="Times New Roman" w:hAnsi="Times New Roman" w:eastAsia="宋体"/>
                <w:bCs/>
                <w:sz w:val="24"/>
                <w:szCs w:val="24"/>
              </w:rPr>
              <w:t>13775595317</w:t>
            </w:r>
          </w:p>
        </w:tc>
      </w:tr>
      <w:tr w14:paraId="388C51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14:paraId="44C9F3BB">
            <w:pPr>
              <w:widowControl/>
              <w:jc w:val="center"/>
              <w:textAlignment w:val="center"/>
              <w:rPr>
                <w:rFonts w:ascii="Times New Roman" w:hAnsi="Times New Roman" w:eastAsia="宋体"/>
                <w:sz w:val="24"/>
                <w:szCs w:val="24"/>
              </w:rPr>
            </w:pPr>
          </w:p>
        </w:tc>
        <w:tc>
          <w:tcPr>
            <w:tcW w:w="1873" w:type="dxa"/>
            <w:tcMar>
              <w:top w:w="15" w:type="dxa"/>
              <w:left w:w="15" w:type="dxa"/>
              <w:right w:w="15" w:type="dxa"/>
            </w:tcMar>
            <w:vAlign w:val="center"/>
          </w:tcPr>
          <w:p w14:paraId="30938621">
            <w:pPr>
              <w:spacing w:line="480" w:lineRule="exact"/>
              <w:jc w:val="center"/>
              <w:rPr>
                <w:rFonts w:ascii="Times New Roman" w:hAnsi="Times New Roman" w:eastAsia="宋体"/>
                <w:sz w:val="24"/>
                <w:szCs w:val="24"/>
              </w:rPr>
            </w:pPr>
            <w:r>
              <w:rPr>
                <w:rFonts w:ascii="Times New Roman" w:hAnsi="Times New Roman" w:eastAsia="宋体"/>
                <w:bCs/>
                <w:sz w:val="24"/>
                <w:szCs w:val="24"/>
              </w:rPr>
              <w:t>技术责任人</w:t>
            </w:r>
          </w:p>
        </w:tc>
        <w:tc>
          <w:tcPr>
            <w:tcW w:w="930" w:type="dxa"/>
            <w:tcMar>
              <w:top w:w="15" w:type="dxa"/>
              <w:left w:w="15" w:type="dxa"/>
              <w:right w:w="15" w:type="dxa"/>
            </w:tcMar>
            <w:vAlign w:val="center"/>
          </w:tcPr>
          <w:p w14:paraId="2A5B465C">
            <w:pPr>
              <w:spacing w:line="480" w:lineRule="exact"/>
              <w:jc w:val="center"/>
              <w:rPr>
                <w:rFonts w:ascii="Times New Roman" w:hAnsi="Times New Roman" w:eastAsia="宋体"/>
                <w:sz w:val="24"/>
                <w:szCs w:val="24"/>
              </w:rPr>
            </w:pPr>
            <w:r>
              <w:rPr>
                <w:rFonts w:ascii="Times New Roman" w:hAnsi="Times New Roman" w:eastAsia="宋体"/>
                <w:bCs/>
                <w:sz w:val="24"/>
                <w:szCs w:val="24"/>
              </w:rPr>
              <w:t>曲乐财</w:t>
            </w:r>
          </w:p>
        </w:tc>
        <w:tc>
          <w:tcPr>
            <w:tcW w:w="1815" w:type="dxa"/>
            <w:tcMar>
              <w:top w:w="15" w:type="dxa"/>
              <w:left w:w="15" w:type="dxa"/>
              <w:right w:w="15" w:type="dxa"/>
            </w:tcMar>
            <w:vAlign w:val="center"/>
          </w:tcPr>
          <w:p w14:paraId="11296CDB">
            <w:pPr>
              <w:spacing w:line="480" w:lineRule="exact"/>
              <w:jc w:val="center"/>
              <w:rPr>
                <w:rFonts w:ascii="Times New Roman" w:hAnsi="Times New Roman" w:eastAsia="宋体"/>
                <w:sz w:val="24"/>
                <w:szCs w:val="24"/>
              </w:rPr>
            </w:pPr>
            <w:r>
              <w:rPr>
                <w:rFonts w:ascii="Times New Roman" w:hAnsi="Times New Roman" w:eastAsia="宋体"/>
                <w:bCs/>
                <w:sz w:val="24"/>
                <w:szCs w:val="24"/>
              </w:rPr>
              <w:t>中云街道水利站</w:t>
            </w:r>
          </w:p>
        </w:tc>
        <w:tc>
          <w:tcPr>
            <w:tcW w:w="1600" w:type="dxa"/>
            <w:tcMar>
              <w:top w:w="15" w:type="dxa"/>
              <w:left w:w="15" w:type="dxa"/>
              <w:right w:w="15" w:type="dxa"/>
            </w:tcMar>
            <w:vAlign w:val="center"/>
          </w:tcPr>
          <w:p w14:paraId="6B371148">
            <w:pPr>
              <w:spacing w:line="480" w:lineRule="exact"/>
              <w:jc w:val="center"/>
              <w:rPr>
                <w:rFonts w:ascii="Times New Roman" w:hAnsi="Times New Roman" w:eastAsia="宋体"/>
                <w:sz w:val="24"/>
                <w:szCs w:val="24"/>
              </w:rPr>
            </w:pPr>
            <w:r>
              <w:rPr>
                <w:rFonts w:ascii="Times New Roman" w:hAnsi="Times New Roman" w:eastAsia="宋体"/>
                <w:bCs/>
                <w:sz w:val="24"/>
                <w:szCs w:val="24"/>
              </w:rPr>
              <w:t>副站长</w:t>
            </w:r>
          </w:p>
        </w:tc>
        <w:tc>
          <w:tcPr>
            <w:tcW w:w="1541" w:type="dxa"/>
            <w:tcMar>
              <w:top w:w="15" w:type="dxa"/>
              <w:left w:w="15" w:type="dxa"/>
              <w:right w:w="15" w:type="dxa"/>
            </w:tcMar>
            <w:vAlign w:val="center"/>
          </w:tcPr>
          <w:p w14:paraId="4BC8B124">
            <w:pPr>
              <w:spacing w:line="480" w:lineRule="exact"/>
              <w:jc w:val="center"/>
              <w:rPr>
                <w:rFonts w:ascii="Times New Roman" w:hAnsi="Times New Roman" w:eastAsia="宋体"/>
                <w:sz w:val="24"/>
                <w:szCs w:val="24"/>
              </w:rPr>
            </w:pPr>
            <w:r>
              <w:rPr>
                <w:rFonts w:ascii="Times New Roman" w:hAnsi="Times New Roman" w:eastAsia="宋体"/>
                <w:bCs/>
                <w:sz w:val="24"/>
                <w:szCs w:val="24"/>
              </w:rPr>
              <w:t>15961382830</w:t>
            </w:r>
          </w:p>
        </w:tc>
      </w:tr>
      <w:tr w14:paraId="120E56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14:paraId="1254411C">
            <w:pPr>
              <w:widowControl/>
              <w:jc w:val="center"/>
              <w:textAlignment w:val="center"/>
              <w:rPr>
                <w:rFonts w:ascii="Times New Roman" w:hAnsi="Times New Roman" w:eastAsia="宋体"/>
                <w:sz w:val="24"/>
                <w:szCs w:val="24"/>
              </w:rPr>
            </w:pPr>
          </w:p>
        </w:tc>
        <w:tc>
          <w:tcPr>
            <w:tcW w:w="1873" w:type="dxa"/>
            <w:tcMar>
              <w:top w:w="15" w:type="dxa"/>
              <w:left w:w="15" w:type="dxa"/>
              <w:right w:w="15" w:type="dxa"/>
            </w:tcMar>
            <w:vAlign w:val="center"/>
          </w:tcPr>
          <w:p w14:paraId="2091544A">
            <w:pPr>
              <w:spacing w:line="480" w:lineRule="exact"/>
              <w:jc w:val="center"/>
              <w:rPr>
                <w:rFonts w:ascii="Times New Roman" w:hAnsi="Times New Roman" w:eastAsia="宋体"/>
                <w:sz w:val="24"/>
                <w:szCs w:val="24"/>
              </w:rPr>
            </w:pPr>
            <w:r>
              <w:rPr>
                <w:rFonts w:ascii="Times New Roman" w:hAnsi="Times New Roman" w:eastAsia="宋体"/>
                <w:bCs/>
                <w:sz w:val="24"/>
                <w:szCs w:val="24"/>
              </w:rPr>
              <w:t>管理单位（巡查）责任人</w:t>
            </w:r>
          </w:p>
        </w:tc>
        <w:tc>
          <w:tcPr>
            <w:tcW w:w="930" w:type="dxa"/>
            <w:tcMar>
              <w:top w:w="15" w:type="dxa"/>
              <w:left w:w="15" w:type="dxa"/>
              <w:right w:w="15" w:type="dxa"/>
            </w:tcMar>
            <w:vAlign w:val="center"/>
          </w:tcPr>
          <w:p w14:paraId="0BA45D31">
            <w:pPr>
              <w:spacing w:line="480" w:lineRule="exact"/>
              <w:jc w:val="center"/>
              <w:rPr>
                <w:rFonts w:ascii="Times New Roman" w:hAnsi="Times New Roman" w:eastAsia="宋体"/>
                <w:sz w:val="24"/>
                <w:szCs w:val="24"/>
              </w:rPr>
            </w:pPr>
            <w:r>
              <w:rPr>
                <w:rFonts w:ascii="Times New Roman" w:hAnsi="Times New Roman" w:eastAsia="宋体"/>
                <w:bCs/>
                <w:sz w:val="24"/>
                <w:szCs w:val="24"/>
              </w:rPr>
              <w:t>刘有才</w:t>
            </w:r>
          </w:p>
        </w:tc>
        <w:tc>
          <w:tcPr>
            <w:tcW w:w="1815" w:type="dxa"/>
            <w:tcMar>
              <w:top w:w="15" w:type="dxa"/>
              <w:left w:w="15" w:type="dxa"/>
              <w:right w:w="15" w:type="dxa"/>
            </w:tcMar>
            <w:vAlign w:val="center"/>
          </w:tcPr>
          <w:p w14:paraId="0CAB101D">
            <w:pPr>
              <w:spacing w:line="480" w:lineRule="exact"/>
              <w:jc w:val="center"/>
              <w:rPr>
                <w:rFonts w:ascii="Times New Roman" w:hAnsi="Times New Roman" w:eastAsia="宋体"/>
                <w:sz w:val="24"/>
                <w:szCs w:val="24"/>
              </w:rPr>
            </w:pPr>
            <w:r>
              <w:rPr>
                <w:rFonts w:ascii="Times New Roman" w:hAnsi="Times New Roman" w:eastAsia="宋体"/>
                <w:bCs/>
                <w:sz w:val="24"/>
                <w:szCs w:val="24"/>
              </w:rPr>
              <w:t>中云街道水利站</w:t>
            </w:r>
          </w:p>
        </w:tc>
        <w:tc>
          <w:tcPr>
            <w:tcW w:w="1600" w:type="dxa"/>
            <w:tcMar>
              <w:top w:w="15" w:type="dxa"/>
              <w:left w:w="15" w:type="dxa"/>
              <w:right w:w="15" w:type="dxa"/>
            </w:tcMar>
            <w:vAlign w:val="center"/>
          </w:tcPr>
          <w:p w14:paraId="4DF46E85">
            <w:pPr>
              <w:spacing w:line="480" w:lineRule="exact"/>
              <w:jc w:val="center"/>
              <w:rPr>
                <w:rFonts w:ascii="Times New Roman" w:hAnsi="Times New Roman" w:eastAsia="宋体"/>
                <w:sz w:val="24"/>
                <w:szCs w:val="24"/>
              </w:rPr>
            </w:pPr>
            <w:r>
              <w:rPr>
                <w:rFonts w:ascii="Times New Roman" w:hAnsi="Times New Roman" w:eastAsia="宋体"/>
                <w:bCs/>
                <w:sz w:val="24"/>
                <w:szCs w:val="24"/>
              </w:rPr>
              <w:t>职  工</w:t>
            </w:r>
          </w:p>
        </w:tc>
        <w:tc>
          <w:tcPr>
            <w:tcW w:w="1541" w:type="dxa"/>
            <w:tcMar>
              <w:top w:w="15" w:type="dxa"/>
              <w:left w:w="15" w:type="dxa"/>
              <w:right w:w="15" w:type="dxa"/>
            </w:tcMar>
            <w:vAlign w:val="center"/>
          </w:tcPr>
          <w:p w14:paraId="4C59F7D5">
            <w:pPr>
              <w:spacing w:line="480" w:lineRule="exact"/>
              <w:jc w:val="center"/>
              <w:rPr>
                <w:rFonts w:ascii="Times New Roman" w:hAnsi="Times New Roman" w:eastAsia="宋体"/>
                <w:sz w:val="24"/>
                <w:szCs w:val="24"/>
              </w:rPr>
            </w:pPr>
            <w:r>
              <w:rPr>
                <w:rFonts w:ascii="Times New Roman" w:hAnsi="Times New Roman" w:eastAsia="宋体"/>
                <w:bCs/>
                <w:sz w:val="24"/>
                <w:szCs w:val="24"/>
              </w:rPr>
              <w:t>13776592977</w:t>
            </w:r>
          </w:p>
        </w:tc>
      </w:tr>
    </w:tbl>
    <w:p w14:paraId="0F1D512B">
      <w:pPr>
        <w:pStyle w:val="2"/>
        <w:ind w:left="0" w:firstLine="0" w:firstLineChars="0"/>
        <w:rPr>
          <w:rFonts w:cs="Times New Roman"/>
        </w:rPr>
        <w:sectPr>
          <w:footerReference r:id="rId10" w:type="default"/>
          <w:pgSz w:w="11906" w:h="16838"/>
          <w:pgMar w:top="2098" w:right="1474" w:bottom="1985" w:left="1588" w:header="851" w:footer="1588" w:gutter="0"/>
          <w:cols w:space="720" w:num="1"/>
          <w:docGrid w:linePitch="312" w:charSpace="0"/>
        </w:sectPr>
      </w:pPr>
    </w:p>
    <w:p w14:paraId="7956876B">
      <w:pPr>
        <w:topLinePunct/>
        <w:spacing w:line="550" w:lineRule="exact"/>
        <w:rPr>
          <w:rFonts w:ascii="Times New Roman" w:hAnsi="Times New Roman" w:eastAsia="宋体"/>
          <w:bCs/>
          <w:sz w:val="28"/>
          <w:szCs w:val="28"/>
        </w:rPr>
      </w:pPr>
      <w:r>
        <w:rPr>
          <w:rFonts w:ascii="Times New Roman" w:hAnsi="Times New Roman" w:eastAsia="宋体"/>
          <w:bCs/>
          <w:sz w:val="28"/>
          <w:szCs w:val="28"/>
        </w:rPr>
        <w:t>附图1：开发区防汛抗旱应急指挥网络及处置流程图</w:t>
      </w:r>
    </w:p>
    <w:p w14:paraId="74798C88">
      <w:pPr>
        <w:pStyle w:val="2"/>
        <w:ind w:left="0" w:firstLine="0" w:firstLineChars="0"/>
        <w:jc w:val="center"/>
        <w:rPr>
          <w:rFonts w:eastAsia="黑体" w:cs="Times New Roman"/>
          <w:sz w:val="32"/>
          <w:szCs w:val="32"/>
        </w:rPr>
      </w:pPr>
    </w:p>
    <w:p w14:paraId="01E63AFD">
      <w:pPr>
        <w:pStyle w:val="2"/>
        <w:ind w:left="0" w:firstLine="0" w:firstLineChars="0"/>
        <w:jc w:val="center"/>
        <w:rPr>
          <w:rFonts w:eastAsia="黑体" w:cs="Times New Roman"/>
          <w:sz w:val="32"/>
          <w:szCs w:val="32"/>
        </w:rPr>
      </w:pPr>
      <w:r>
        <w:rPr>
          <w:rFonts w:cs="Times New Roman"/>
        </w:rPr>
        <w:drawing>
          <wp:inline distT="0" distB="0" distL="114300" distR="114300">
            <wp:extent cx="5609590" cy="5983605"/>
            <wp:effectExtent l="0" t="0" r="10160" b="17145"/>
            <wp:docPr id="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1"/>
                    <pic:cNvPicPr>
                      <a:picLocks noChangeAspect="1"/>
                    </pic:cNvPicPr>
                  </pic:nvPicPr>
                  <pic:blipFill>
                    <a:blip r:embed="rId25" cstate="print"/>
                    <a:stretch>
                      <a:fillRect/>
                    </a:stretch>
                  </pic:blipFill>
                  <pic:spPr>
                    <a:xfrm>
                      <a:off x="0" y="0"/>
                      <a:ext cx="5609590" cy="5983605"/>
                    </a:xfrm>
                    <a:prstGeom prst="rect">
                      <a:avLst/>
                    </a:prstGeom>
                    <a:noFill/>
                    <a:ln>
                      <a:noFill/>
                    </a:ln>
                  </pic:spPr>
                </pic:pic>
              </a:graphicData>
            </a:graphic>
          </wp:inline>
        </w:drawing>
      </w:r>
    </w:p>
    <w:p w14:paraId="33611FB7">
      <w:pPr>
        <w:pStyle w:val="2"/>
        <w:ind w:left="0" w:firstLine="0" w:firstLineChars="0"/>
        <w:jc w:val="center"/>
        <w:rPr>
          <w:rFonts w:eastAsia="黑体" w:cs="Times New Roman"/>
          <w:sz w:val="32"/>
          <w:szCs w:val="32"/>
        </w:rPr>
      </w:pPr>
    </w:p>
    <w:p w14:paraId="7CB0505E">
      <w:pPr>
        <w:pStyle w:val="2"/>
        <w:ind w:left="0" w:firstLine="0" w:firstLineChars="0"/>
        <w:jc w:val="center"/>
        <w:rPr>
          <w:rFonts w:eastAsia="黑体" w:cs="Times New Roman"/>
          <w:sz w:val="32"/>
          <w:szCs w:val="32"/>
        </w:rPr>
      </w:pPr>
    </w:p>
    <w:p w14:paraId="6C641693">
      <w:pPr>
        <w:pStyle w:val="2"/>
        <w:ind w:left="0" w:firstLine="0" w:firstLineChars="0"/>
        <w:jc w:val="center"/>
        <w:rPr>
          <w:rFonts w:eastAsia="黑体" w:cs="Times New Roman"/>
          <w:sz w:val="32"/>
          <w:szCs w:val="32"/>
        </w:rPr>
      </w:pPr>
    </w:p>
    <w:p w14:paraId="2A450A4F">
      <w:pPr>
        <w:pStyle w:val="2"/>
        <w:ind w:left="0" w:firstLine="0" w:firstLineChars="0"/>
        <w:jc w:val="center"/>
        <w:rPr>
          <w:rFonts w:eastAsia="黑体" w:cs="Times New Roman"/>
          <w:sz w:val="32"/>
          <w:szCs w:val="32"/>
        </w:rPr>
        <w:sectPr>
          <w:headerReference r:id="rId11" w:type="default"/>
          <w:footerReference r:id="rId12" w:type="default"/>
          <w:pgSz w:w="11906" w:h="16838"/>
          <w:pgMar w:top="2098" w:right="1474" w:bottom="1985" w:left="1588" w:header="851" w:footer="1588" w:gutter="0"/>
          <w:cols w:space="720" w:num="1"/>
          <w:docGrid w:linePitch="590" w:charSpace="0"/>
        </w:sectPr>
      </w:pPr>
    </w:p>
    <w:p w14:paraId="1A503BFA">
      <w:pPr>
        <w:topLinePunct/>
        <w:spacing w:line="550" w:lineRule="exact"/>
        <w:rPr>
          <w:rFonts w:ascii="Times New Roman" w:hAnsi="Times New Roman" w:eastAsia="宋体"/>
          <w:bCs/>
          <w:sz w:val="28"/>
          <w:szCs w:val="28"/>
        </w:rPr>
      </w:pPr>
      <w:r>
        <w:rPr>
          <w:rFonts w:ascii="Times New Roman" w:hAnsi="Times New Roman" w:eastAsia="黑体"/>
          <w:sz w:val="32"/>
          <w:szCs w:val="32"/>
        </w:rPr>
        <w:drawing>
          <wp:anchor distT="0" distB="0" distL="114300" distR="114300" simplePos="0" relativeHeight="251661312" behindDoc="0" locked="0" layoutInCell="1" allowOverlap="1">
            <wp:simplePos x="0" y="0"/>
            <wp:positionH relativeFrom="column">
              <wp:posOffset>1905000</wp:posOffset>
            </wp:positionH>
            <wp:positionV relativeFrom="paragraph">
              <wp:posOffset>-909320</wp:posOffset>
            </wp:positionV>
            <wp:extent cx="4799965" cy="7626350"/>
            <wp:effectExtent l="1409700" t="0" r="1391285" b="0"/>
            <wp:wrapNone/>
            <wp:docPr id="545" name="图片 2" descr="（20201116）开发区现状水系图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2" descr="（20201116）开发区现状水系图 Model (1)"/>
                    <pic:cNvPicPr>
                      <a:picLocks noChangeAspect="1"/>
                    </pic:cNvPicPr>
                  </pic:nvPicPr>
                  <pic:blipFill>
                    <a:blip r:embed="rId26" cstate="print"/>
                    <a:stretch>
                      <a:fillRect/>
                    </a:stretch>
                  </pic:blipFill>
                  <pic:spPr>
                    <a:xfrm rot="-5400000">
                      <a:off x="0" y="0"/>
                      <a:ext cx="4800084" cy="7626629"/>
                    </a:xfrm>
                    <a:prstGeom prst="rect">
                      <a:avLst/>
                    </a:prstGeom>
                    <a:noFill/>
                    <a:ln>
                      <a:noFill/>
                    </a:ln>
                  </pic:spPr>
                </pic:pic>
              </a:graphicData>
            </a:graphic>
          </wp:anchor>
        </w:drawing>
      </w:r>
      <w:r>
        <w:rPr>
          <w:rFonts w:ascii="Times New Roman" w:hAnsi="Times New Roman" w:eastAsia="宋体"/>
          <w:bCs/>
          <w:sz w:val="28"/>
          <w:szCs w:val="28"/>
        </w:rPr>
        <w:t>附图2：开发区水系图</w:t>
      </w:r>
    </w:p>
    <w:p w14:paraId="74BD2BCF">
      <w:pPr>
        <w:pStyle w:val="2"/>
        <w:ind w:left="0" w:firstLine="0" w:firstLineChars="0"/>
        <w:jc w:val="center"/>
        <w:rPr>
          <w:rFonts w:eastAsia="黑体" w:cs="Times New Roman"/>
          <w:sz w:val="32"/>
          <w:szCs w:val="32"/>
        </w:rPr>
      </w:pPr>
    </w:p>
    <w:p w14:paraId="55234F06">
      <w:pPr>
        <w:pStyle w:val="2"/>
        <w:ind w:left="0" w:firstLine="0" w:firstLineChars="0"/>
        <w:jc w:val="center"/>
        <w:rPr>
          <w:rFonts w:eastAsia="黑体" w:cs="Times New Roman"/>
          <w:sz w:val="32"/>
          <w:szCs w:val="32"/>
        </w:rPr>
      </w:pPr>
    </w:p>
    <w:p w14:paraId="414E6369">
      <w:pPr>
        <w:pStyle w:val="2"/>
        <w:ind w:left="0" w:firstLine="0" w:firstLineChars="0"/>
        <w:jc w:val="center"/>
        <w:rPr>
          <w:rFonts w:eastAsia="黑体" w:cs="Times New Roman"/>
          <w:sz w:val="32"/>
          <w:szCs w:val="32"/>
        </w:rPr>
      </w:pPr>
    </w:p>
    <w:p w14:paraId="4C49FA29">
      <w:pPr>
        <w:pStyle w:val="2"/>
        <w:ind w:left="0" w:firstLine="0" w:firstLineChars="0"/>
        <w:jc w:val="center"/>
        <w:rPr>
          <w:rFonts w:eastAsia="黑体" w:cs="Times New Roman"/>
          <w:sz w:val="32"/>
          <w:szCs w:val="32"/>
        </w:rPr>
      </w:pPr>
    </w:p>
    <w:p w14:paraId="17221DF3">
      <w:pPr>
        <w:pStyle w:val="2"/>
        <w:ind w:left="0" w:firstLine="0" w:firstLineChars="0"/>
        <w:jc w:val="center"/>
        <w:rPr>
          <w:rFonts w:eastAsia="黑体" w:cs="Times New Roman"/>
          <w:sz w:val="32"/>
          <w:szCs w:val="32"/>
        </w:rPr>
      </w:pPr>
    </w:p>
    <w:p w14:paraId="6DC07F30">
      <w:pPr>
        <w:pStyle w:val="2"/>
        <w:ind w:left="0" w:firstLine="0" w:firstLineChars="0"/>
        <w:jc w:val="center"/>
        <w:rPr>
          <w:rFonts w:eastAsia="黑体" w:cs="Times New Roman"/>
          <w:sz w:val="32"/>
          <w:szCs w:val="32"/>
        </w:rPr>
      </w:pPr>
    </w:p>
    <w:p w14:paraId="4D8EE3B8">
      <w:pPr>
        <w:pStyle w:val="2"/>
        <w:ind w:left="0" w:firstLine="0" w:firstLineChars="0"/>
        <w:jc w:val="center"/>
        <w:rPr>
          <w:rFonts w:eastAsia="黑体" w:cs="Times New Roman"/>
          <w:sz w:val="32"/>
          <w:szCs w:val="32"/>
        </w:rPr>
      </w:pPr>
    </w:p>
    <w:p w14:paraId="556FD111">
      <w:pPr>
        <w:pStyle w:val="2"/>
        <w:ind w:left="0" w:firstLine="0" w:firstLineChars="0"/>
        <w:jc w:val="center"/>
        <w:rPr>
          <w:rFonts w:eastAsia="黑体" w:cs="Times New Roman"/>
          <w:sz w:val="32"/>
          <w:szCs w:val="32"/>
        </w:rPr>
      </w:pPr>
    </w:p>
    <w:p w14:paraId="6AED1E4A">
      <w:pPr>
        <w:pStyle w:val="2"/>
        <w:ind w:left="0" w:firstLine="0" w:firstLineChars="0"/>
        <w:jc w:val="center"/>
        <w:rPr>
          <w:rFonts w:eastAsia="黑体" w:cs="Times New Roman"/>
          <w:sz w:val="32"/>
          <w:szCs w:val="32"/>
        </w:rPr>
      </w:pPr>
    </w:p>
    <w:p w14:paraId="66853691">
      <w:pPr>
        <w:pStyle w:val="2"/>
        <w:ind w:left="0" w:firstLine="0" w:firstLineChars="0"/>
        <w:jc w:val="center"/>
        <w:rPr>
          <w:rFonts w:eastAsia="黑体" w:cs="Times New Roman"/>
          <w:sz w:val="32"/>
          <w:szCs w:val="32"/>
        </w:rPr>
      </w:pPr>
    </w:p>
    <w:p w14:paraId="4C6BA291">
      <w:pPr>
        <w:pStyle w:val="2"/>
        <w:ind w:left="0" w:firstLine="0" w:firstLineChars="0"/>
        <w:jc w:val="center"/>
        <w:rPr>
          <w:rFonts w:eastAsia="黑体" w:cs="Times New Roman"/>
          <w:sz w:val="32"/>
          <w:szCs w:val="32"/>
        </w:rPr>
      </w:pPr>
    </w:p>
    <w:p w14:paraId="02215E96">
      <w:pPr>
        <w:pStyle w:val="2"/>
        <w:ind w:left="0" w:firstLine="0" w:firstLineChars="0"/>
        <w:jc w:val="center"/>
        <w:rPr>
          <w:rFonts w:eastAsia="黑体" w:cs="Times New Roman"/>
          <w:sz w:val="32"/>
          <w:szCs w:val="32"/>
        </w:rPr>
      </w:pPr>
    </w:p>
    <w:p w14:paraId="6698B6D5">
      <w:pPr>
        <w:pStyle w:val="2"/>
        <w:ind w:left="0" w:firstLine="0" w:firstLineChars="0"/>
        <w:jc w:val="center"/>
        <w:rPr>
          <w:rFonts w:eastAsia="黑体" w:cs="Times New Roman"/>
          <w:sz w:val="32"/>
          <w:szCs w:val="32"/>
        </w:rPr>
      </w:pPr>
    </w:p>
    <w:p w14:paraId="04D51836">
      <w:pPr>
        <w:pStyle w:val="2"/>
        <w:ind w:left="0" w:firstLine="0" w:firstLineChars="0"/>
        <w:rPr>
          <w:rFonts w:eastAsia="黑体" w:cs="Times New Roman"/>
          <w:sz w:val="32"/>
          <w:szCs w:val="32"/>
        </w:rPr>
      </w:pPr>
    </w:p>
    <w:p w14:paraId="51867202">
      <w:pPr>
        <w:rPr>
          <w:rFonts w:ascii="Times New Roman" w:hAnsi="Times New Roman"/>
        </w:rPr>
        <w:sectPr>
          <w:footerReference r:id="rId13" w:type="default"/>
          <w:pgSz w:w="16838" w:h="11906" w:orient="landscape"/>
          <w:pgMar w:top="1588" w:right="2098" w:bottom="1474" w:left="1985" w:header="851" w:footer="1588" w:gutter="0"/>
          <w:cols w:space="720" w:num="1"/>
          <w:docGrid w:linePitch="590" w:charSpace="0"/>
        </w:sectPr>
      </w:pPr>
    </w:p>
    <w:bookmarkEnd w:id="216"/>
    <w:bookmarkEnd w:id="217"/>
    <w:bookmarkEnd w:id="218"/>
    <w:bookmarkEnd w:id="219"/>
    <w:bookmarkEnd w:id="220"/>
    <w:bookmarkEnd w:id="221"/>
    <w:p w14:paraId="0A194D85">
      <w:pPr>
        <w:topLinePunct/>
        <w:spacing w:line="550" w:lineRule="exact"/>
        <w:rPr>
          <w:rFonts w:ascii="Times New Roman" w:hAnsi="Times New Roman" w:eastAsia="宋体"/>
          <w:bCs/>
          <w:sz w:val="28"/>
          <w:szCs w:val="28"/>
        </w:rPr>
      </w:pPr>
      <w:bookmarkStart w:id="222" w:name="_Toc9264"/>
      <w:bookmarkStart w:id="223" w:name="_Toc28483"/>
      <w:bookmarkStart w:id="224" w:name="_Toc16380"/>
      <w:bookmarkStart w:id="225" w:name="_Toc4308"/>
      <w:bookmarkStart w:id="226" w:name="_Toc36652051"/>
      <w:bookmarkStart w:id="227" w:name="_Toc5588"/>
      <w:bookmarkStart w:id="228" w:name="_Toc3704"/>
      <w:bookmarkStart w:id="229" w:name="_Toc42178028"/>
      <w:r>
        <w:rPr>
          <w:rFonts w:ascii="Times New Roman" w:hAnsi="Times New Roman" w:eastAsia="宋体"/>
          <w:bCs/>
          <w:sz w:val="28"/>
          <w:szCs w:val="28"/>
        </w:rPr>
        <w:t>附件</w:t>
      </w:r>
      <w:bookmarkEnd w:id="222"/>
      <w:r>
        <w:rPr>
          <w:rFonts w:ascii="Times New Roman" w:hAnsi="Times New Roman" w:eastAsia="宋体"/>
          <w:bCs/>
          <w:sz w:val="28"/>
          <w:szCs w:val="28"/>
        </w:rPr>
        <w:t>：</w:t>
      </w:r>
      <w:bookmarkStart w:id="230" w:name="_Toc1339"/>
      <w:r>
        <w:rPr>
          <w:rFonts w:ascii="Times New Roman" w:hAnsi="Times New Roman" w:eastAsia="宋体"/>
          <w:bCs/>
          <w:sz w:val="28"/>
          <w:szCs w:val="28"/>
        </w:rPr>
        <w:t>名词术语定义</w:t>
      </w:r>
      <w:bookmarkEnd w:id="223"/>
      <w:bookmarkEnd w:id="224"/>
      <w:bookmarkEnd w:id="225"/>
      <w:bookmarkEnd w:id="226"/>
      <w:bookmarkEnd w:id="227"/>
      <w:bookmarkEnd w:id="228"/>
      <w:bookmarkEnd w:id="229"/>
      <w:bookmarkEnd w:id="230"/>
    </w:p>
    <w:p w14:paraId="455450EB">
      <w:pPr>
        <w:autoSpaceDE w:val="0"/>
        <w:autoSpaceDN w:val="0"/>
        <w:adjustRightInd w:val="0"/>
        <w:rPr>
          <w:rFonts w:ascii="Times New Roman" w:hAnsi="Times New Roman" w:eastAsia="方正小标宋简体"/>
          <w:sz w:val="24"/>
          <w:szCs w:val="24"/>
        </w:rPr>
      </w:pPr>
    </w:p>
    <w:p w14:paraId="1704EF59">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雨量等级划分：降雨量等级气象部门规定：降雨量是指在一定时间内降落到地面的水层深度，单位用毫米（mm）表示。单位时间内降雨量称降雨强度。</w:t>
      </w:r>
    </w:p>
    <w:p w14:paraId="6C1B259A">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小雨：1d（或24h）降雨量小于10mm</w:t>
      </w:r>
    </w:p>
    <w:p w14:paraId="1D6EEA75">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中雨：1d（或24h）降雨量10～24.9mm</w:t>
      </w:r>
    </w:p>
    <w:p w14:paraId="549198F0">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大雨：1d（或24h）降雨量25～49.9mm</w:t>
      </w:r>
    </w:p>
    <w:p w14:paraId="1CE271B4">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暴雨：1d（或24h）降雨量50～99.9mm</w:t>
      </w:r>
    </w:p>
    <w:p w14:paraId="2DD7C79E">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大暴雨：1d（或24h）降雨量100～249.9mm</w:t>
      </w:r>
    </w:p>
    <w:p w14:paraId="678290E5">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特大暴雨：1d（或24h）降雨量在250mm以上</w:t>
      </w:r>
    </w:p>
    <w:p w14:paraId="0301C877">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防御洪水预案：是有防汛防洪任务的地方人民政府根据流域综合规划、防洪工程实际状况和国家规定的防洪标准，制定的防御江河洪水（包括对特大洪水）、山洪灾害（山洪、泥石流、滑坡等）、台风暴潮灾害等方案的统称。</w:t>
      </w:r>
    </w:p>
    <w:p w14:paraId="74894F16">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抗旱预案：是在现有工程设施条件和抗旱能力下，针对不同等级、程度的干旱，而预先制定的对策和措施，是各级防汛抗旱指挥部实施指挥决策的依据。</w:t>
      </w:r>
    </w:p>
    <w:p w14:paraId="3C769846">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轻度干旱：受旱区域作物受旱面积占播种面积的比例在30％以下；以及因旱造成农（牧）区临时性饮水困难人口占所在地区人口比例在20%以下。</w:t>
      </w:r>
    </w:p>
    <w:p w14:paraId="1F013C4B">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中度干旱：受旱区域作物受旱面积占播种面积的比例达31%～50%；以及因旱造成农（牧）区临时性饮水困难人口占所在地区人口比例达2l%～40%。</w:t>
      </w:r>
    </w:p>
    <w:p w14:paraId="485DA4A8">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严重干旱：受旱区域作物受旱面积占播种面积的比例达5l%～80%；以及因旱造成农（牧）区临时性饮水困难人口占所在地区人口比例达41%～60%。</w:t>
      </w:r>
    </w:p>
    <w:p w14:paraId="620BC62F">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特大干旱：受旱区域作物受旱面积占播种面积的比例在80％以上；以及因旱造成农（牧）区临时性饮水困难人口占所在地区人口比例高于60%。</w:t>
      </w:r>
    </w:p>
    <w:p w14:paraId="2DAFE9DB">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紧急防汛期：根据《中华人民共和国防洪法》规定，当江河、湖泊的水情接近保证水位或者安全流量，水库水位接近设计洪水位，或者防洪工程设施发生重大险情时，有关县区级以上人民政府防汛抗旱指挥机构可以宣布进入紧急防汛期。在紧急防汛期，国家防汛抗旱指挥机构或者其授权的流域、省、自治区、直辖市防汛抗旱指挥机构有权对壅水、阻水严重的桥梁、引道、码头和其他跨河工程设施作出紧急处置。防汛抗旱指挥机构根据防汛防洪的需要，有权在其管辖范围内调用物资、设备、交通运输工具和人力，决定采取取土占地、砍伐林木、清除阻水障碍物和其他必要的紧急措施；必要时，公安、交通等有关部门按照防汛抗旱指挥机构的决定，依法实施陆地和水面交通管制。</w:t>
      </w:r>
    </w:p>
    <w:p w14:paraId="47617686">
      <w:pPr>
        <w:spacing w:line="558" w:lineRule="exact"/>
        <w:ind w:firstLine="560" w:firstLineChars="200"/>
        <w:rPr>
          <w:rFonts w:ascii="Times New Roman" w:hAnsi="Times New Roman" w:eastAsia="仿宋_GB2312"/>
          <w:sz w:val="32"/>
          <w:szCs w:val="30"/>
        </w:rPr>
      </w:pPr>
      <w:r>
        <w:rPr>
          <w:rFonts w:ascii="Times New Roman" w:hAnsi="Times New Roman" w:eastAsia="宋体"/>
          <w:bCs/>
          <w:sz w:val="28"/>
          <w:szCs w:val="28"/>
          <w:lang w:val="zh-CN"/>
        </w:rPr>
        <w:t xml:space="preserve">附件2：抢险措施 </w:t>
      </w:r>
    </w:p>
    <w:p w14:paraId="4023E9E7">
      <w:pPr>
        <w:spacing w:line="540" w:lineRule="exact"/>
        <w:ind w:firstLine="537" w:firstLineChars="168"/>
        <w:jc w:val="left"/>
        <w:rPr>
          <w:rFonts w:ascii="Times New Roman" w:hAnsi="Times New Roman" w:eastAsia="仿宋_GB2312"/>
          <w:sz w:val="32"/>
          <w:szCs w:val="19"/>
        </w:rPr>
      </w:pPr>
      <w:r>
        <w:rPr>
          <w:rFonts w:ascii="Times New Roman" w:hAnsi="Times New Roman" w:eastAsia="仿宋_GB2312"/>
          <w:sz w:val="32"/>
          <w:szCs w:val="19"/>
        </w:rPr>
        <w:t>新沭河开发区段行洪期间发生危及河道堤防工程可能遭遇险情等，由区防指组织人员抢险。主要抢险措施如下：</w:t>
      </w:r>
    </w:p>
    <w:p w14:paraId="07103070">
      <w:pPr>
        <w:spacing w:line="540" w:lineRule="exact"/>
        <w:ind w:firstLine="537" w:firstLineChars="168"/>
        <w:rPr>
          <w:rFonts w:ascii="Times New Roman" w:hAnsi="Times New Roman" w:eastAsia="仿宋_GB2312"/>
          <w:sz w:val="32"/>
          <w:szCs w:val="19"/>
        </w:rPr>
      </w:pPr>
      <w:r>
        <w:rPr>
          <w:rFonts w:ascii="Times New Roman" w:hAnsi="Times New Roman" w:eastAsia="仿宋_GB2312"/>
          <w:bCs/>
          <w:sz w:val="32"/>
          <w:szCs w:val="19"/>
        </w:rPr>
        <w:t>脱坡抢险。</w:t>
      </w:r>
      <w:r>
        <w:rPr>
          <w:rFonts w:ascii="Times New Roman" w:hAnsi="Times New Roman" w:eastAsia="仿宋_GB2312"/>
          <w:sz w:val="32"/>
          <w:szCs w:val="19"/>
        </w:rPr>
        <w:t>脱坡险情主要特征为堤顶、堤坡发生裂缝，随着土体下挫滑塌，裂缝发展。抢险要点为固脚阻滑，削坡减载。固脚阻滑：应及时在坡脚堆砌块石或砂袋，稳住堤坡。对地基不好或临近坑塘的地方，应先做填塘固基。如脱坡已形成，抢护时应在脱坡体上部削坡减载，下部做固脚阻滑。滤水土撑和滤水后戗：当脱坡险情严重时，可采用滤水土撑或滤水后戗。先清理坡面，然后在脱坡部位顺坡挖沟，沟深最好挖至脱裂面，沟内按反滤要求铺设反滤料。开沟困难时，也可直接采用反滤层。在完成反滤沟或反滤体后，为防止继续脱坡，可用透水性大的砂料分层填筑夯实成透水土撑。土撑间距一般 8~10 m。若堤坝断面单薄，背水坡陡，险情严重，可修筑滤水后戗。滤水还坡：根据脱坡情况将脱坡顶部陡坎削成缓坡，清除坡面松土杂物，做好导渗层。在坡脚堆放块石或砂袋固脚，然后直接回填中、粗砂还坡。也可采取临河筑戗以加大原堤防断面。</w:t>
      </w:r>
    </w:p>
    <w:p w14:paraId="0DFB6654">
      <w:pPr>
        <w:spacing w:line="540" w:lineRule="exact"/>
        <w:ind w:firstLine="537" w:firstLineChars="168"/>
        <w:rPr>
          <w:rFonts w:ascii="Times New Roman" w:hAnsi="Times New Roman" w:eastAsia="仿宋_GB2312"/>
          <w:sz w:val="32"/>
          <w:szCs w:val="19"/>
        </w:rPr>
      </w:pPr>
      <w:r>
        <w:rPr>
          <w:rFonts w:ascii="Times New Roman" w:hAnsi="Times New Roman" w:eastAsia="仿宋_GB2312"/>
          <w:bCs/>
          <w:sz w:val="32"/>
          <w:szCs w:val="19"/>
        </w:rPr>
        <w:t>坍塌崩岸抢险。</w:t>
      </w:r>
      <w:r>
        <w:rPr>
          <w:rFonts w:ascii="Times New Roman" w:hAnsi="Times New Roman" w:eastAsia="仿宋_GB2312"/>
          <w:sz w:val="32"/>
          <w:szCs w:val="19"/>
        </w:rPr>
        <w:t xml:space="preserve">大堤临水堤坡或控导工程被洪水水流冲塌，或退水期堤岸失去水体支撑，再加上反向渗透压力，出现崩岸，如抢护不及时，即有决堤的危险。抢护要点：护脚固基，缓溜防冲。护脚固基：在堤顶或船上沿坍塌部位抛投块石、柳石枕或铅丝（竹）石笼。先从顶冲坍塌严重部位抛护，然后依次上下进行，抛至稳定坡度为止。沉柳缓溜防冲：采用枝多叶茂的柳树头，用铅丝或麻绳将大块石或砂袋拴在树杈上，装在船上从下游向上游，由低处到高处，依次抛沉。如一排不能掩护淘刷范围，可增加沉柳排数，树头依次排列，前后树稍紧密相连。 </w:t>
      </w:r>
    </w:p>
    <w:p w14:paraId="2D601DD4">
      <w:pPr>
        <w:spacing w:line="540" w:lineRule="exact"/>
        <w:ind w:firstLine="537" w:firstLineChars="168"/>
        <w:rPr>
          <w:rFonts w:ascii="Times New Roman" w:hAnsi="Times New Roman" w:eastAsia="仿宋_GB2312"/>
          <w:sz w:val="32"/>
          <w:szCs w:val="19"/>
        </w:rPr>
      </w:pPr>
      <w:r>
        <w:rPr>
          <w:rFonts w:ascii="Times New Roman" w:hAnsi="Times New Roman" w:eastAsia="仿宋_GB2312"/>
          <w:bCs/>
          <w:sz w:val="32"/>
          <w:szCs w:val="19"/>
        </w:rPr>
        <w:t>漏洞抢险。</w:t>
      </w:r>
      <w:r>
        <w:rPr>
          <w:rFonts w:ascii="Times New Roman" w:hAnsi="Times New Roman" w:eastAsia="仿宋_GB2312"/>
          <w:sz w:val="32"/>
          <w:szCs w:val="19"/>
        </w:rPr>
        <w:t xml:space="preserve">在高水位下大堤背水坡或堤脚附近发生横贯堤身或基础的漏水孔洞称漏洞。如不及时抢护，将迅速恶化，造成溃决。抢护要点：前堵为主，后导为辅。软帘盖堵：当进水口较大或有多处孔洞土质松软时，可用篷布或土工编织布做为软帘盖堵，软帘大小根据盖堵的范围决定。软帘的上边用绳索或铅丝系牢于堤顶的木桩上，下边坠以重物，利于软帘沉贴边坡，并顺坡滑动。在盖堵前，先将软帘卷起，置放在洞口上部，盖堵时用杆子顶推，顺堤坡下滚，把洞口盖堵严密后，再盖压土袋，抛填黏土闭气。软楔堵塞：当漏洞进口较小，周围土质较坚硬的情况下，可用绳结成楔形网兜，网兜内填麦秸、稻草等或用棉衣、棉被制作软楔，将进水口填实塞严，抛黏土或土袋闭气，也可用土袋抢修临河月堤，再填上闭气。抛填黏土前戗：条件许可时，根据漏水堤段的临水深度和漏水严重程度，确定抛填前戗的尺寸，一般顶宽 2~3 m，长度最少超过漏水堤段两端各 3 m，戗顶高出水面1 m。抛填前可将边坡上的草、树和杂物清除。 </w:t>
      </w:r>
    </w:p>
    <w:p w14:paraId="2FEBFD7D">
      <w:pPr>
        <w:spacing w:line="540" w:lineRule="exact"/>
        <w:ind w:firstLine="537" w:firstLineChars="168"/>
        <w:rPr>
          <w:rFonts w:ascii="Times New Roman" w:hAnsi="Times New Roman" w:eastAsia="仿宋_GB2312"/>
          <w:sz w:val="32"/>
          <w:szCs w:val="19"/>
        </w:rPr>
      </w:pPr>
      <w:r>
        <w:rPr>
          <w:rFonts w:ascii="Times New Roman" w:hAnsi="Times New Roman" w:eastAsia="仿宋_GB2312"/>
          <w:bCs/>
          <w:sz w:val="32"/>
          <w:szCs w:val="19"/>
        </w:rPr>
        <w:t>裂缝抢险。</w:t>
      </w:r>
      <w:r>
        <w:rPr>
          <w:rFonts w:ascii="Times New Roman" w:hAnsi="Times New Roman" w:eastAsia="仿宋_GB2312"/>
          <w:sz w:val="32"/>
          <w:szCs w:val="19"/>
        </w:rPr>
        <w:t xml:space="preserve">堤顶或堤坡发生裂缝，与堤身垂直的叫横缝，与堤身平行的纵缝。横缝易形成渗水通道，险情较严重，应及时加以处理。抢护要点：隔断水源，开挖回填。横墙隔断：适用于横缝。在裂缝堤段临水面做前戗，沿裂缝开挖沟槽，然后与裂缝垂直方向每隔 3~5 m增挖沟槽，槽长一般为 2.5~3 m，然后按要求回填。若沿裂缝背水坡已有漏水，还应同时在背水坡做好反滤导渗。纵缝处理：加强观测，分析产生裂缝原因，如裂缝由滑坡、坍塌等原因引起，则立即采取相应措施抢护。一般可遮盖缝口，防止雨水进入。 </w:t>
      </w:r>
    </w:p>
    <w:p w14:paraId="78EE99AA">
      <w:pPr>
        <w:spacing w:line="540" w:lineRule="exact"/>
        <w:ind w:firstLine="537" w:firstLineChars="168"/>
        <w:rPr>
          <w:rFonts w:ascii="Times New Roman" w:hAnsi="Times New Roman" w:eastAsia="仿宋_GB2312"/>
          <w:sz w:val="32"/>
          <w:szCs w:val="19"/>
        </w:rPr>
      </w:pPr>
      <w:r>
        <w:rPr>
          <w:rFonts w:ascii="Times New Roman" w:hAnsi="Times New Roman" w:eastAsia="仿宋_GB2312"/>
          <w:bCs/>
          <w:sz w:val="32"/>
          <w:szCs w:val="19"/>
        </w:rPr>
        <w:t>管涌抢险。</w:t>
      </w:r>
      <w:r>
        <w:rPr>
          <w:rFonts w:ascii="Times New Roman" w:hAnsi="Times New Roman" w:eastAsia="仿宋_GB2312"/>
          <w:sz w:val="32"/>
          <w:szCs w:val="19"/>
        </w:rPr>
        <w:t>管涌俗称翻沙鼓水。一般发生在背水堤脚、附近洼地或坑塘里，地面上或坑塘中冒水、冒沙、冒沙处形成沙环，有的地方出现单个或数个，甚至成管涌群。如果基础细沙层被淘空，就会导致堤身骤然下挫，甚至酿成决堤灾害。抢护要点：反滤导渗，蓄水反压。反滤导渗：在管涌范围较大，孔眼较多的地方，险情不太严重，做围井困难时，可直接按反滤要求，分层铺设反滤料，其上盖块石或砂袋。</w:t>
      </w:r>
    </w:p>
    <w:p w14:paraId="17A8EA4C">
      <w:pPr>
        <w:spacing w:line="540" w:lineRule="exact"/>
        <w:ind w:firstLine="537" w:firstLineChars="168"/>
        <w:rPr>
          <w:rFonts w:ascii="Times New Roman" w:hAnsi="Times New Roman" w:eastAsia="仿宋_GB2312"/>
          <w:sz w:val="32"/>
          <w:szCs w:val="19"/>
        </w:rPr>
      </w:pPr>
      <w:r>
        <w:rPr>
          <w:rFonts w:ascii="Times New Roman" w:hAnsi="Times New Roman" w:eastAsia="仿宋_GB2312"/>
          <w:bCs/>
          <w:sz w:val="32"/>
          <w:szCs w:val="19"/>
        </w:rPr>
        <w:t>风浪抢险。</w:t>
      </w:r>
      <w:r>
        <w:rPr>
          <w:rFonts w:ascii="Times New Roman" w:hAnsi="Times New Roman" w:eastAsia="仿宋_GB2312"/>
          <w:sz w:val="32"/>
          <w:szCs w:val="19"/>
        </w:rPr>
        <w:t xml:space="preserve">高水位时风大浪高，堤防迎水坡受风浪冲击，连续淘刷，侵蚀堤身，严重时有决口危险。抢护要点：消浪防冲，保护堤岸。织物防浪：用土工织物、土工膜布、篷布或彩色编织布铺放在堤坡上，铺设时，织物的上沿应高出洪水位 1~2 m，织物四周用砂袋或大块石压牢，但要加强观察，以防被冲失。也可用编织袋装土、砂卵石等，沿水边线排放连成排体防浪。挂柳防浪：选择枝叶茂密的柳树，在枝杈部位截断，将树头向下放入水中，相互紧靠，用铅丝或麻绳拴在打入堤（坝）顶部的木桩上。挂枕防浪：用秸料或苇料、柳树等，扎成直径 50 cm的枕，将枕两端用绳系在堤岸木桩上，推置水面上，随波起伏，起到消浪作用。柳箔防浪：将柳枝、芦苇或稻草等扎成直径 10 cm的把子，用细麻绳边成箔，置于风浪顶冲入，柳箔上端系在堤顶部的木柱上，下端坠块石，将箔顺堤放入水中，蹭再打桩或压块石。 </w:t>
      </w:r>
    </w:p>
    <w:p w14:paraId="744C43B8">
      <w:pPr>
        <w:spacing w:line="540" w:lineRule="exact"/>
        <w:ind w:firstLine="537" w:firstLineChars="168"/>
        <w:rPr>
          <w:rFonts w:ascii="Times New Roman" w:hAnsi="Times New Roman" w:eastAsia="仿宋_GB2312"/>
          <w:sz w:val="32"/>
          <w:szCs w:val="19"/>
        </w:rPr>
      </w:pPr>
      <w:r>
        <w:rPr>
          <w:rFonts w:ascii="Times New Roman" w:hAnsi="Times New Roman" w:eastAsia="仿宋_GB2312"/>
          <w:bCs/>
          <w:sz w:val="32"/>
          <w:szCs w:val="19"/>
        </w:rPr>
        <w:t>跌窝抢险。</w:t>
      </w:r>
      <w:r>
        <w:rPr>
          <w:rFonts w:ascii="Times New Roman" w:hAnsi="Times New Roman" w:eastAsia="仿宋_GB2312"/>
          <w:sz w:val="32"/>
          <w:szCs w:val="19"/>
        </w:rPr>
        <w:t xml:space="preserve">跌窝是指汛期堤身或外滩发生局部塌洞。抢护要点：分析原因，还土填实。填土夯实：向跌窝内填土，分层夯实，直到填满跌窝。填筑所用土料，如跌窝在堤顶或临水坡，宜用透水性小于原堤坝的土料；如位于背水坡，宜用透水性不小于原堤坝的土料。填塞封堵：发生在临水坡水下跌窝，使用草袋、麻袋或编织袋装粘土直接在水下填实陷坑，必要时可再抛投黏土，加以封堵和帮宽。填筑滤料：跌窝发生在背水坡，伴随发生渗水或漏洞险情，可先将陷坑内松土或湿软土清除，然后用粗沙填实，再在背水坡按照背水导渗要求，铺设反滤层进行抢护。 </w:t>
      </w:r>
    </w:p>
    <w:p w14:paraId="40DF47DC">
      <w:pPr>
        <w:spacing w:line="540" w:lineRule="exact"/>
        <w:ind w:firstLine="537" w:firstLineChars="168"/>
        <w:rPr>
          <w:rFonts w:ascii="Times New Roman" w:hAnsi="Times New Roman" w:eastAsia="仿宋_GB2312"/>
          <w:sz w:val="32"/>
          <w:szCs w:val="19"/>
        </w:rPr>
      </w:pPr>
      <w:r>
        <w:rPr>
          <w:rFonts w:ascii="Times New Roman" w:hAnsi="Times New Roman" w:eastAsia="仿宋_GB2312"/>
          <w:bCs/>
          <w:sz w:val="32"/>
          <w:szCs w:val="19"/>
        </w:rPr>
        <w:t>堵口。</w:t>
      </w:r>
      <w:r>
        <w:rPr>
          <w:rFonts w:ascii="Times New Roman" w:hAnsi="Times New Roman" w:eastAsia="仿宋_GB2312"/>
          <w:sz w:val="32"/>
          <w:szCs w:val="19"/>
        </w:rPr>
        <w:t xml:space="preserve">河道堤防发生险情，抢护不及时或措施不当，就会导致决口。对决口及时进行封堵称堵口。抢护要点：因地制宜，及时抢堵。平堵：沿口门选定堵口堤坝线，利用架桥或船平抛料物，如散石、混凝土块、柳石枕、铅丝笼或竹笼块石等，从河底开始逐层填高，直至高出水面，以堵截水流，达到堵口目的。立堵：堤防决口两端做好裹头，从口门两端同时抛投堵口材料。可根据水深和流速采取不同方法。如流速不大或静水，可直接填土进堵；如流速较大，可用打桩、抛枕、抛笼等进堵，最后集中抛投合龙。钢木土石组合堵口：由裹头两端进占，置干排间距 0.8~1.2m的钢管桩，用钢管和管扣水平纵横向连接成框架，顶层搭上竹木为工作桥。 </w:t>
      </w:r>
    </w:p>
    <w:p w14:paraId="41E209B8">
      <w:pPr>
        <w:spacing w:line="540" w:lineRule="exact"/>
        <w:ind w:firstLine="537" w:firstLineChars="168"/>
        <w:rPr>
          <w:rFonts w:ascii="Times New Roman" w:hAnsi="Times New Roman" w:eastAsia="仿宋_GB2312"/>
          <w:sz w:val="32"/>
          <w:szCs w:val="19"/>
        </w:rPr>
        <w:sectPr>
          <w:pgSz w:w="11906" w:h="16838"/>
          <w:pgMar w:top="2098" w:right="1474" w:bottom="1985" w:left="1588" w:header="851" w:footer="1588" w:gutter="0"/>
          <w:cols w:space="0" w:num="1"/>
          <w:docGrid w:linePitch="319" w:charSpace="0"/>
        </w:sectPr>
      </w:pPr>
      <w:r>
        <w:rPr>
          <w:rFonts w:ascii="Times New Roman" w:hAnsi="Times New Roman" w:eastAsia="仿宋_GB2312"/>
          <w:sz w:val="32"/>
          <w:szCs w:val="19"/>
        </w:rPr>
        <w:t xml:space="preserve">然后在钢管桩之间置木桩，并在木桩之间回填砂石料袋。龙口窄、流速大时，框架可加密并设斜撑，稳固框架，还可在决口上游设置挑流设施。 </w:t>
      </w:r>
    </w:p>
    <w:p w14:paraId="1D9E7C33">
      <w:pPr>
        <w:widowControl/>
        <w:spacing w:line="560" w:lineRule="exact"/>
        <w:jc w:val="center"/>
        <w:rPr>
          <w:rFonts w:ascii="Times New Roman" w:hAnsi="Times New Roman" w:eastAsia="方正小标宋简体"/>
          <w:bCs/>
          <w:kern w:val="0"/>
          <w:sz w:val="44"/>
          <w:szCs w:val="44"/>
        </w:rPr>
      </w:pPr>
      <w:r>
        <w:rPr>
          <w:rFonts w:ascii="Times New Roman" w:hAnsi="Times New Roman" w:eastAsia="方正小标宋简体"/>
          <w:kern w:val="0"/>
          <w:sz w:val="44"/>
          <w:szCs w:val="44"/>
        </w:rPr>
        <w:t>连云港经济技术开发区</w:t>
      </w:r>
      <w:r>
        <w:rPr>
          <w:rFonts w:ascii="Times New Roman" w:hAnsi="Times New Roman" w:eastAsia="方正小标宋简体"/>
          <w:bCs/>
          <w:kern w:val="0"/>
          <w:sz w:val="44"/>
          <w:szCs w:val="44"/>
        </w:rPr>
        <w:t>突发公共事件</w:t>
      </w:r>
    </w:p>
    <w:p w14:paraId="30A3675D">
      <w:pPr>
        <w:widowControl/>
        <w:spacing w:line="560" w:lineRule="exact"/>
        <w:jc w:val="center"/>
        <w:rPr>
          <w:rFonts w:ascii="Times New Roman" w:hAnsi="Times New Roman" w:eastAsia="方正小标宋简体"/>
          <w:bCs/>
          <w:kern w:val="0"/>
          <w:sz w:val="44"/>
          <w:szCs w:val="44"/>
        </w:rPr>
      </w:pPr>
      <w:r>
        <w:rPr>
          <w:rFonts w:ascii="Times New Roman" w:hAnsi="Times New Roman" w:eastAsia="方正小标宋简体"/>
          <w:bCs/>
          <w:kern w:val="0"/>
          <w:sz w:val="44"/>
          <w:szCs w:val="44"/>
        </w:rPr>
        <w:t>医疗卫生救援应急预案</w:t>
      </w:r>
    </w:p>
    <w:p w14:paraId="042211BD">
      <w:pPr>
        <w:widowControl/>
        <w:spacing w:line="560" w:lineRule="exact"/>
        <w:jc w:val="center"/>
        <w:rPr>
          <w:rFonts w:ascii="Times New Roman" w:hAnsi="Times New Roman" w:eastAsia="方正小标宋简体"/>
          <w:kern w:val="0"/>
          <w:sz w:val="44"/>
          <w:szCs w:val="44"/>
        </w:rPr>
      </w:pPr>
    </w:p>
    <w:p w14:paraId="5C7B0543">
      <w:pPr>
        <w:widowControl/>
        <w:spacing w:line="560" w:lineRule="exact"/>
        <w:ind w:firstLine="640" w:firstLineChars="200"/>
        <w:jc w:val="center"/>
        <w:rPr>
          <w:rFonts w:ascii="Times New Roman" w:hAnsi="Times New Roman" w:eastAsia="黑体"/>
          <w:color w:val="000000"/>
          <w:kern w:val="0"/>
          <w:sz w:val="32"/>
          <w:szCs w:val="32"/>
        </w:rPr>
      </w:pPr>
      <w:r>
        <w:rPr>
          <w:rFonts w:ascii="Times New Roman" w:hAnsi="Times New Roman" w:eastAsia="黑体"/>
          <w:color w:val="000000"/>
          <w:kern w:val="0"/>
          <w:sz w:val="32"/>
          <w:szCs w:val="32"/>
        </w:rPr>
        <w:t>目  录</w:t>
      </w:r>
    </w:p>
    <w:p w14:paraId="38751037">
      <w:pPr>
        <w:widowControl/>
        <w:spacing w:line="540" w:lineRule="exact"/>
        <w:ind w:firstLine="640" w:firstLineChars="200"/>
        <w:jc w:val="left"/>
        <w:rPr>
          <w:rFonts w:ascii="Times New Roman" w:hAnsi="Times New Roman" w:eastAsia="黑体"/>
          <w:color w:val="000000"/>
          <w:kern w:val="0"/>
          <w:sz w:val="32"/>
          <w:szCs w:val="32"/>
        </w:rPr>
      </w:pPr>
      <w:r>
        <w:rPr>
          <w:rFonts w:ascii="Times New Roman" w:hAnsi="Times New Roman" w:eastAsia="黑体"/>
          <w:color w:val="000000"/>
          <w:kern w:val="0"/>
          <w:sz w:val="32"/>
          <w:szCs w:val="32"/>
        </w:rPr>
        <w:t>1  总则</w:t>
      </w:r>
    </w:p>
    <w:p w14:paraId="36DC7FA6">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1.1编制目的</w:t>
      </w:r>
    </w:p>
    <w:p w14:paraId="3DD3B2B8">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1.2编制依据</w:t>
      </w:r>
    </w:p>
    <w:p w14:paraId="2548B918">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1.3适用范围</w:t>
      </w:r>
    </w:p>
    <w:p w14:paraId="4936EF96">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1.4工作原则</w:t>
      </w:r>
    </w:p>
    <w:p w14:paraId="2C64DBA7">
      <w:pPr>
        <w:widowControl/>
        <w:spacing w:line="540" w:lineRule="exact"/>
        <w:ind w:firstLine="640" w:firstLineChars="200"/>
        <w:jc w:val="left"/>
        <w:rPr>
          <w:rFonts w:ascii="Times New Roman" w:hAnsi="Times New Roman" w:eastAsia="黑体"/>
          <w:color w:val="000000"/>
          <w:kern w:val="0"/>
          <w:sz w:val="32"/>
          <w:szCs w:val="32"/>
        </w:rPr>
      </w:pPr>
      <w:r>
        <w:rPr>
          <w:rFonts w:ascii="Times New Roman" w:hAnsi="Times New Roman" w:eastAsia="黑体"/>
          <w:color w:val="000000"/>
          <w:kern w:val="0"/>
          <w:sz w:val="32"/>
          <w:szCs w:val="32"/>
        </w:rPr>
        <w:t>2  事件分级</w:t>
      </w:r>
    </w:p>
    <w:p w14:paraId="63EEAD14">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2.1 特别重大事件（</w:t>
      </w:r>
      <w:r>
        <w:rPr>
          <w:rFonts w:hint="eastAsia" w:ascii="宋体" w:hAnsi="宋体" w:eastAsia="宋体" w:cs="宋体"/>
          <w:color w:val="000000"/>
          <w:kern w:val="0"/>
          <w:sz w:val="32"/>
          <w:szCs w:val="32"/>
        </w:rPr>
        <w:t>Ⅰ</w:t>
      </w:r>
      <w:r>
        <w:rPr>
          <w:rFonts w:ascii="Times New Roman" w:hAnsi="Times New Roman" w:eastAsia="仿宋_GB2312"/>
          <w:color w:val="000000"/>
          <w:kern w:val="0"/>
          <w:sz w:val="32"/>
          <w:szCs w:val="32"/>
        </w:rPr>
        <w:t>级）</w:t>
      </w:r>
    </w:p>
    <w:p w14:paraId="230E63DA">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2.2重大事件（</w:t>
      </w:r>
      <w:r>
        <w:rPr>
          <w:rFonts w:hint="eastAsia" w:ascii="宋体" w:hAnsi="宋体" w:eastAsia="宋体" w:cs="宋体"/>
          <w:color w:val="000000"/>
          <w:kern w:val="0"/>
          <w:sz w:val="32"/>
          <w:szCs w:val="32"/>
        </w:rPr>
        <w:t>Ⅱ</w:t>
      </w:r>
      <w:r>
        <w:rPr>
          <w:rFonts w:ascii="Times New Roman" w:hAnsi="Times New Roman" w:eastAsia="仿宋_GB2312"/>
          <w:color w:val="000000"/>
          <w:kern w:val="0"/>
          <w:sz w:val="32"/>
          <w:szCs w:val="32"/>
        </w:rPr>
        <w:t>级）</w:t>
      </w:r>
    </w:p>
    <w:p w14:paraId="7D6B9404">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2.3较大事件（</w:t>
      </w:r>
      <w:r>
        <w:rPr>
          <w:rFonts w:hint="eastAsia" w:ascii="宋体" w:hAnsi="宋体" w:eastAsia="宋体" w:cs="宋体"/>
          <w:color w:val="000000"/>
          <w:kern w:val="0"/>
          <w:sz w:val="32"/>
          <w:szCs w:val="32"/>
        </w:rPr>
        <w:t>Ⅲ</w:t>
      </w:r>
      <w:r>
        <w:rPr>
          <w:rFonts w:ascii="Times New Roman" w:hAnsi="Times New Roman" w:eastAsia="仿宋_GB2312"/>
          <w:color w:val="000000"/>
          <w:kern w:val="0"/>
          <w:sz w:val="32"/>
          <w:szCs w:val="32"/>
        </w:rPr>
        <w:t>级）</w:t>
      </w:r>
    </w:p>
    <w:p w14:paraId="18B1F1EC">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2.4一般事件（IV级）</w:t>
      </w:r>
    </w:p>
    <w:p w14:paraId="56B89A9C">
      <w:pPr>
        <w:widowControl/>
        <w:spacing w:line="540" w:lineRule="exact"/>
        <w:ind w:firstLine="640" w:firstLineChars="200"/>
        <w:jc w:val="left"/>
        <w:rPr>
          <w:rFonts w:ascii="Times New Roman" w:hAnsi="Times New Roman" w:eastAsia="仿宋_GB2312"/>
          <w:color w:val="000000"/>
          <w:kern w:val="0"/>
          <w:sz w:val="32"/>
          <w:szCs w:val="32"/>
        </w:rPr>
      </w:pPr>
      <w:r>
        <w:rPr>
          <w:rFonts w:ascii="Times New Roman" w:hAnsi="Times New Roman" w:eastAsia="黑体"/>
          <w:color w:val="000000"/>
          <w:kern w:val="0"/>
          <w:sz w:val="32"/>
          <w:szCs w:val="32"/>
        </w:rPr>
        <w:t>3  组织体系</w:t>
      </w:r>
    </w:p>
    <w:p w14:paraId="491EF21C">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3.1医疗卫生救援领导小组</w:t>
      </w:r>
    </w:p>
    <w:p w14:paraId="4CEA5911">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3.2现场医疗卫生救援指挥部</w:t>
      </w:r>
    </w:p>
    <w:p w14:paraId="3F5A2C80">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3.3医疗卫生救援机构</w:t>
      </w:r>
    </w:p>
    <w:p w14:paraId="4AD25DCD">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3.4专家组</w:t>
      </w:r>
    </w:p>
    <w:p w14:paraId="260593D6">
      <w:pPr>
        <w:widowControl/>
        <w:spacing w:line="540" w:lineRule="exact"/>
        <w:ind w:firstLine="640" w:firstLineChars="200"/>
        <w:jc w:val="left"/>
        <w:rPr>
          <w:rFonts w:ascii="Times New Roman" w:hAnsi="Times New Roman" w:eastAsia="黑体"/>
          <w:color w:val="000000"/>
          <w:kern w:val="0"/>
          <w:sz w:val="32"/>
          <w:szCs w:val="32"/>
        </w:rPr>
      </w:pPr>
      <w:r>
        <w:rPr>
          <w:rFonts w:ascii="Times New Roman" w:hAnsi="Times New Roman" w:eastAsia="黑体"/>
          <w:color w:val="000000"/>
          <w:kern w:val="0"/>
          <w:sz w:val="32"/>
          <w:szCs w:val="32"/>
        </w:rPr>
        <w:t>4  应急响应</w:t>
      </w:r>
    </w:p>
    <w:p w14:paraId="39456CCD">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4.1分级响应</w:t>
      </w:r>
    </w:p>
    <w:p w14:paraId="1B3C8C5A">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4.2现场医疗卫生救援及指挥</w:t>
      </w:r>
    </w:p>
    <w:p w14:paraId="6C81CF6C">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4.3医疗救治</w:t>
      </w:r>
    </w:p>
    <w:p w14:paraId="19F9318D">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4.4疾病预防控制和卫生监督工作</w:t>
      </w:r>
    </w:p>
    <w:p w14:paraId="1A703F42">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4.5信息报告和发布</w:t>
      </w:r>
    </w:p>
    <w:p w14:paraId="4D6B73B2">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4.6响应终止</w:t>
      </w:r>
    </w:p>
    <w:p w14:paraId="16CC976E">
      <w:pPr>
        <w:widowControl/>
        <w:spacing w:line="540" w:lineRule="exact"/>
        <w:ind w:firstLine="640" w:firstLineChars="200"/>
        <w:jc w:val="left"/>
        <w:rPr>
          <w:rFonts w:ascii="Times New Roman" w:hAnsi="Times New Roman" w:eastAsia="黑体"/>
          <w:color w:val="000000"/>
          <w:kern w:val="0"/>
          <w:sz w:val="32"/>
          <w:szCs w:val="32"/>
        </w:rPr>
      </w:pPr>
      <w:r>
        <w:rPr>
          <w:rFonts w:ascii="Times New Roman" w:hAnsi="Times New Roman" w:eastAsia="黑体"/>
          <w:color w:val="000000"/>
          <w:kern w:val="0"/>
          <w:sz w:val="32"/>
          <w:szCs w:val="32"/>
        </w:rPr>
        <w:t>5  保障措施</w:t>
      </w:r>
    </w:p>
    <w:p w14:paraId="6FF7C652">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5.1 信息系统</w:t>
      </w:r>
    </w:p>
    <w:p w14:paraId="0E685637">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5.2急救机构</w:t>
      </w:r>
    </w:p>
    <w:p w14:paraId="264C7B8D">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5.3紧急医学教授基地</w:t>
      </w:r>
    </w:p>
    <w:p w14:paraId="7DA7E19A">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5.4医疗卫生救授应急队伍</w:t>
      </w:r>
    </w:p>
    <w:p w14:paraId="7608AB08">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5.5血液储备</w:t>
      </w:r>
    </w:p>
    <w:p w14:paraId="65B12C36">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5.6物资储备</w:t>
      </w:r>
    </w:p>
    <w:p w14:paraId="38BAAA8B">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5.7经费保障</w:t>
      </w:r>
    </w:p>
    <w:p w14:paraId="16E25AF0">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5.8交通运输保障</w:t>
      </w:r>
    </w:p>
    <w:p w14:paraId="6B9365D9">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5.9 其他保障</w:t>
      </w:r>
    </w:p>
    <w:p w14:paraId="33172630">
      <w:pPr>
        <w:widowControl/>
        <w:spacing w:line="540" w:lineRule="exact"/>
        <w:ind w:firstLine="640" w:firstLineChars="200"/>
        <w:jc w:val="left"/>
        <w:rPr>
          <w:rFonts w:ascii="Times New Roman" w:hAnsi="Times New Roman" w:eastAsia="黑体"/>
          <w:color w:val="000000"/>
          <w:kern w:val="0"/>
          <w:sz w:val="32"/>
          <w:szCs w:val="32"/>
        </w:rPr>
      </w:pPr>
      <w:r>
        <w:rPr>
          <w:rFonts w:ascii="Times New Roman" w:hAnsi="Times New Roman" w:eastAsia="黑体"/>
          <w:color w:val="000000"/>
          <w:kern w:val="0"/>
          <w:sz w:val="32"/>
          <w:szCs w:val="32"/>
        </w:rPr>
        <w:t>6  公众参与</w:t>
      </w:r>
    </w:p>
    <w:p w14:paraId="2B6CF2C6">
      <w:pPr>
        <w:widowControl/>
        <w:spacing w:line="540" w:lineRule="exact"/>
        <w:ind w:firstLine="640" w:firstLineChars="200"/>
        <w:jc w:val="left"/>
        <w:rPr>
          <w:rFonts w:ascii="Times New Roman" w:hAnsi="Times New Roman" w:eastAsia="黑体"/>
          <w:color w:val="000000"/>
          <w:kern w:val="0"/>
          <w:sz w:val="32"/>
          <w:szCs w:val="32"/>
        </w:rPr>
      </w:pPr>
      <w:r>
        <w:rPr>
          <w:rFonts w:ascii="Times New Roman" w:hAnsi="Times New Roman" w:eastAsia="黑体"/>
          <w:color w:val="000000"/>
          <w:kern w:val="0"/>
          <w:sz w:val="32"/>
          <w:szCs w:val="32"/>
        </w:rPr>
        <w:t>7  责任与奖惩</w:t>
      </w:r>
    </w:p>
    <w:p w14:paraId="4628AA58">
      <w:pPr>
        <w:widowControl/>
        <w:spacing w:line="540" w:lineRule="exact"/>
        <w:ind w:firstLine="640" w:firstLineChars="200"/>
        <w:jc w:val="left"/>
        <w:rPr>
          <w:rFonts w:ascii="Times New Roman" w:hAnsi="Times New Roman" w:eastAsia="黑体"/>
          <w:color w:val="000000"/>
          <w:kern w:val="0"/>
          <w:sz w:val="32"/>
          <w:szCs w:val="32"/>
        </w:rPr>
      </w:pPr>
      <w:r>
        <w:rPr>
          <w:rFonts w:ascii="Times New Roman" w:hAnsi="Times New Roman" w:eastAsia="黑体"/>
          <w:color w:val="000000"/>
          <w:kern w:val="0"/>
          <w:sz w:val="32"/>
          <w:szCs w:val="32"/>
        </w:rPr>
        <w:t>8  附则</w:t>
      </w:r>
    </w:p>
    <w:p w14:paraId="78611C1F">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8.1预案管理</w:t>
      </w:r>
    </w:p>
    <w:p w14:paraId="11F1FBC9">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8.2预案解释部门</w:t>
      </w:r>
    </w:p>
    <w:p w14:paraId="33FE8D0D">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8.3预案实施时间</w:t>
      </w:r>
    </w:p>
    <w:p w14:paraId="3BAEAFC7">
      <w:pPr>
        <w:widowControl/>
        <w:spacing w:line="540" w:lineRule="exact"/>
        <w:ind w:firstLine="640" w:firstLineChars="200"/>
        <w:jc w:val="left"/>
        <w:rPr>
          <w:rFonts w:ascii="Times New Roman" w:hAnsi="Times New Roman" w:eastAsia="黑体"/>
          <w:color w:val="000000"/>
          <w:kern w:val="0"/>
          <w:sz w:val="32"/>
          <w:szCs w:val="32"/>
        </w:rPr>
      </w:pPr>
      <w:r>
        <w:rPr>
          <w:rFonts w:ascii="Times New Roman" w:hAnsi="Times New Roman" w:eastAsia="黑体"/>
          <w:color w:val="000000"/>
          <w:kern w:val="0"/>
          <w:sz w:val="32"/>
          <w:szCs w:val="32"/>
        </w:rPr>
        <w:t>9  附件</w:t>
      </w:r>
    </w:p>
    <w:p w14:paraId="5D131406">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9.1突发公共事件医疗卫生救援应急组织体系示意图</w:t>
      </w:r>
    </w:p>
    <w:p w14:paraId="0F9FFE6D">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9.2卫生应急处置队伍</w:t>
      </w:r>
    </w:p>
    <w:p w14:paraId="7DD2F4C8">
      <w:pPr>
        <w:widowControl/>
        <w:spacing w:line="560" w:lineRule="exact"/>
        <w:ind w:firstLine="640" w:firstLineChars="200"/>
        <w:jc w:val="left"/>
        <w:rPr>
          <w:rFonts w:ascii="Times New Roman" w:hAnsi="Times New Roman" w:eastAsia="黑体"/>
          <w:color w:val="000000"/>
          <w:kern w:val="0"/>
          <w:sz w:val="32"/>
          <w:szCs w:val="32"/>
        </w:rPr>
      </w:pPr>
    </w:p>
    <w:p w14:paraId="4891C933">
      <w:pPr>
        <w:widowControl/>
        <w:spacing w:line="560" w:lineRule="exact"/>
        <w:ind w:firstLine="640" w:firstLineChars="200"/>
        <w:jc w:val="left"/>
        <w:rPr>
          <w:rFonts w:ascii="Times New Roman" w:hAnsi="Times New Roman" w:eastAsia="黑体"/>
          <w:color w:val="000000"/>
          <w:kern w:val="0"/>
          <w:sz w:val="32"/>
          <w:szCs w:val="32"/>
        </w:rPr>
      </w:pPr>
      <w:r>
        <w:rPr>
          <w:rFonts w:ascii="Times New Roman" w:hAnsi="Times New Roman" w:eastAsia="黑体"/>
          <w:color w:val="000000"/>
          <w:kern w:val="0"/>
          <w:sz w:val="32"/>
          <w:szCs w:val="32"/>
        </w:rPr>
        <w:t>1  总则</w:t>
      </w:r>
    </w:p>
    <w:p w14:paraId="4257764C">
      <w:pPr>
        <w:widowControl/>
        <w:spacing w:line="560" w:lineRule="exact"/>
        <w:ind w:firstLine="640" w:firstLineChars="200"/>
        <w:rPr>
          <w:rFonts w:ascii="Times New Roman" w:hAnsi="Times New Roman" w:eastAsia="楷体"/>
          <w:kern w:val="0"/>
          <w:sz w:val="32"/>
          <w:szCs w:val="32"/>
        </w:rPr>
      </w:pPr>
      <w:r>
        <w:rPr>
          <w:rFonts w:ascii="Times New Roman" w:hAnsi="Times New Roman" w:eastAsia="楷体"/>
          <w:kern w:val="0"/>
          <w:sz w:val="32"/>
          <w:szCs w:val="32"/>
        </w:rPr>
        <w:t xml:space="preserve">1.1  </w:t>
      </w:r>
      <w:r>
        <w:rPr>
          <w:rFonts w:ascii="Times New Roman" w:hAnsi="Times New Roman" w:eastAsia="楷体_GB2312"/>
          <w:kern w:val="0"/>
          <w:sz w:val="32"/>
          <w:szCs w:val="32"/>
        </w:rPr>
        <w:t>编制目的</w:t>
      </w:r>
    </w:p>
    <w:p w14:paraId="784C5B6B">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提高卫生健康行政部门应对各类突发公共事件的应急反应能力和医疗卫生救援水平，确保发生自然灾害、事故灾难、社会安全事件等突发公共事件时，能迅速、高效、有序地开展各项医疗卫生救援工作，最大限度地减少人员伤亡和健康危害，保障人民群众身体健康和生命安全，维护社会稳定。</w:t>
      </w:r>
    </w:p>
    <w:p w14:paraId="6260AED1">
      <w:pPr>
        <w:widowControl/>
        <w:spacing w:line="560" w:lineRule="exact"/>
        <w:ind w:firstLine="640" w:firstLineChars="200"/>
        <w:rPr>
          <w:rFonts w:ascii="Times New Roman" w:hAnsi="Times New Roman" w:eastAsia="楷体"/>
          <w:kern w:val="0"/>
          <w:sz w:val="32"/>
          <w:szCs w:val="32"/>
        </w:rPr>
      </w:pPr>
      <w:r>
        <w:rPr>
          <w:rFonts w:ascii="Times New Roman" w:hAnsi="Times New Roman" w:eastAsia="楷体"/>
          <w:kern w:val="0"/>
          <w:sz w:val="32"/>
          <w:szCs w:val="32"/>
        </w:rPr>
        <w:t xml:space="preserve">1.2  </w:t>
      </w:r>
      <w:r>
        <w:rPr>
          <w:rFonts w:ascii="Times New Roman" w:hAnsi="Times New Roman" w:eastAsia="楷体_GB2312"/>
          <w:kern w:val="0"/>
          <w:sz w:val="32"/>
          <w:szCs w:val="32"/>
        </w:rPr>
        <w:t>编制依据</w:t>
      </w:r>
    </w:p>
    <w:p w14:paraId="4D594DB1">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依据《中华人民共和国传染病防治法》《中华人民共和国食品安全法》《中华人民共和国职业病防治法》《中华人民共和国放射性污染防治法》《中华人民共和国安全生产法》《中华人民共和国突发事件应对法》以及《突发公共卫生事件应急条例》《医疗机构管理条例》《核电厂核事故应急管理条例》《全国医疗机构卫生应急工作规范（试行）》《国家突发公共事件医疗卫生救援应急预案》和《江苏省实施&lt;突发公共卫生事件应急条例&gt;办法》《江苏省突发公共事件总体应急预案》《连云港市突发公共事件医疗卫生救援应急预案》和《开发区突发公共卫生事件应急预案》等。</w:t>
      </w:r>
    </w:p>
    <w:p w14:paraId="2B966805">
      <w:pPr>
        <w:widowControl/>
        <w:spacing w:line="560" w:lineRule="exact"/>
        <w:ind w:firstLine="640" w:firstLineChars="200"/>
        <w:rPr>
          <w:rFonts w:ascii="Times New Roman" w:hAnsi="Times New Roman" w:eastAsia="楷体"/>
          <w:kern w:val="0"/>
          <w:sz w:val="32"/>
          <w:szCs w:val="32"/>
        </w:rPr>
      </w:pPr>
      <w:r>
        <w:rPr>
          <w:rFonts w:ascii="Times New Roman" w:hAnsi="Times New Roman" w:eastAsia="楷体"/>
          <w:kern w:val="0"/>
          <w:sz w:val="32"/>
          <w:szCs w:val="32"/>
        </w:rPr>
        <w:t xml:space="preserve">1.3  </w:t>
      </w:r>
      <w:r>
        <w:rPr>
          <w:rFonts w:ascii="Times New Roman" w:hAnsi="Times New Roman" w:eastAsia="楷体_GB2312"/>
          <w:kern w:val="0"/>
          <w:sz w:val="32"/>
          <w:szCs w:val="32"/>
        </w:rPr>
        <w:t>适用范围</w:t>
      </w:r>
    </w:p>
    <w:p w14:paraId="03E27830">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本预案适用于本区域内突发公共事件所导致的人员伤亡、生命危险和健康危害的医疗卫生救援工作。突发公共卫生事件按照《开发区突发公共卫生事件应急预案》进行处置。</w:t>
      </w:r>
    </w:p>
    <w:p w14:paraId="11F04D92">
      <w:pPr>
        <w:widowControl/>
        <w:spacing w:line="560" w:lineRule="exact"/>
        <w:ind w:firstLine="640" w:firstLineChars="200"/>
        <w:rPr>
          <w:rFonts w:ascii="Times New Roman" w:hAnsi="Times New Roman" w:eastAsia="楷体"/>
          <w:kern w:val="0"/>
          <w:sz w:val="32"/>
          <w:szCs w:val="32"/>
        </w:rPr>
      </w:pPr>
      <w:r>
        <w:rPr>
          <w:rFonts w:ascii="Times New Roman" w:hAnsi="Times New Roman" w:eastAsia="楷体"/>
          <w:kern w:val="0"/>
          <w:sz w:val="32"/>
          <w:szCs w:val="32"/>
        </w:rPr>
        <w:t xml:space="preserve">1.4  </w:t>
      </w:r>
      <w:r>
        <w:rPr>
          <w:rFonts w:ascii="Times New Roman" w:hAnsi="Times New Roman" w:eastAsia="楷体_GB2312"/>
          <w:kern w:val="0"/>
          <w:sz w:val="32"/>
          <w:szCs w:val="32"/>
        </w:rPr>
        <w:t>工作原则</w:t>
      </w:r>
    </w:p>
    <w:p w14:paraId="53BABE7A">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（１）统一领导，分级负责。根据突发公共事件的范围、性质和危害程度，突发公共事件医疗卫生救援工作实行分级响应、属地管理，由区管委会统一领导，各有关部门按照职责做好有关工作。</w:t>
      </w:r>
    </w:p>
    <w:p w14:paraId="2B6E569C">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２）依靠科技、依法规范。充分利用现代科学技术手段开展突发公共事件医疗卫生救援工作，依靠科技进步全面提升我区突发公共事件的医疗卫生救援水平。区管委会和区社会事业局要依照相关法律、法规和上级相关政策，完善应急预案，建立健全突发公共事件医疗卫生救援工作制度。</w:t>
      </w:r>
    </w:p>
    <w:p w14:paraId="34F34771">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（3）反应及时，措施果断。区管委会和各相关部门对突发公共事件和可能发生的突发公共事件要作出快速反应，采取果断措施，及时有效地开展医疗卫生救援工作，防止事故扩大，避免引发次生、衍生灾害。</w:t>
      </w:r>
    </w:p>
    <w:p w14:paraId="1C7058DB">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（4）整合资源，信息共享。突发公共事件医疗卫生救援体系建设要充分利用和整合现有资源，避免重复建设。借助现有医疗救治信息网络，实现卫生健康行政部门与医疗机构、相关部门之间的信息共享。</w:t>
      </w:r>
    </w:p>
    <w:p w14:paraId="38EF4A60">
      <w:pPr>
        <w:widowControl/>
        <w:spacing w:line="56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平战结合，常备不懈。区社会事业局要加强突发公共事件医疗卫生救援的组织工作，成立领导机构和工作班子，组建医疗卫生救援应急队伍，制定各种医疗卫生救援应急技术方案，定期开展培训和演练，提高突发公共事件医疗卫生救援的能力和水平。</w:t>
      </w:r>
    </w:p>
    <w:p w14:paraId="1BF68E95">
      <w:pPr>
        <w:widowControl/>
        <w:spacing w:line="56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（6）加强协作，公众参与。各有关部门和单位要通力合作，积极配合做好突发公共事件医疗卫生救援工作、广泛组织动员公众参与突发公共事件的医疗卫生救援工作。</w:t>
      </w:r>
    </w:p>
    <w:p w14:paraId="3433DAFE">
      <w:pPr>
        <w:widowControl/>
        <w:spacing w:line="560" w:lineRule="exact"/>
        <w:ind w:firstLine="640" w:firstLineChars="200"/>
        <w:rPr>
          <w:rFonts w:ascii="Times New Roman" w:hAnsi="Times New Roman" w:eastAsia="黑体"/>
          <w:kern w:val="0"/>
          <w:sz w:val="32"/>
          <w:szCs w:val="32"/>
        </w:rPr>
      </w:pPr>
      <w:r>
        <w:rPr>
          <w:rFonts w:ascii="Times New Roman" w:hAnsi="Times New Roman" w:eastAsia="黑体"/>
          <w:kern w:val="0"/>
          <w:sz w:val="32"/>
          <w:szCs w:val="32"/>
        </w:rPr>
        <w:t>2  事件分级</w:t>
      </w:r>
    </w:p>
    <w:p w14:paraId="3941AA2E">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根据突发公共事件导致人员伤亡和健康危害情况，将医疗卫生救援事件分为特别重大（</w:t>
      </w:r>
      <w:r>
        <w:rPr>
          <w:rFonts w:hint="eastAsia" w:ascii="宋体" w:hAnsi="宋体" w:eastAsia="宋体" w:cs="宋体"/>
          <w:kern w:val="0"/>
          <w:sz w:val="32"/>
          <w:szCs w:val="32"/>
        </w:rPr>
        <w:t>Ⅰ</w:t>
      </w:r>
      <w:r>
        <w:rPr>
          <w:rFonts w:ascii="Times New Roman" w:hAnsi="Times New Roman" w:eastAsia="仿宋_GB2312"/>
          <w:kern w:val="0"/>
          <w:sz w:val="32"/>
          <w:szCs w:val="32"/>
        </w:rPr>
        <w:t>级）、重大（</w:t>
      </w:r>
      <w:r>
        <w:rPr>
          <w:rFonts w:hint="eastAsia" w:ascii="宋体" w:hAnsi="宋体" w:eastAsia="宋体" w:cs="宋体"/>
          <w:kern w:val="0"/>
          <w:sz w:val="32"/>
          <w:szCs w:val="32"/>
        </w:rPr>
        <w:t>Ⅱ</w:t>
      </w:r>
      <w:r>
        <w:rPr>
          <w:rFonts w:ascii="Times New Roman" w:hAnsi="Times New Roman" w:eastAsia="仿宋_GB2312"/>
          <w:kern w:val="0"/>
          <w:sz w:val="32"/>
          <w:szCs w:val="32"/>
        </w:rPr>
        <w:t>级）、较大（</w:t>
      </w:r>
      <w:r>
        <w:rPr>
          <w:rFonts w:hint="eastAsia" w:ascii="宋体" w:hAnsi="宋体" w:eastAsia="宋体" w:cs="宋体"/>
          <w:kern w:val="0"/>
          <w:sz w:val="32"/>
          <w:szCs w:val="32"/>
        </w:rPr>
        <w:t>Ⅲ</w:t>
      </w:r>
      <w:r>
        <w:rPr>
          <w:rFonts w:ascii="Times New Roman" w:hAnsi="Times New Roman" w:eastAsia="仿宋_GB2312"/>
          <w:kern w:val="0"/>
          <w:sz w:val="32"/>
          <w:szCs w:val="32"/>
        </w:rPr>
        <w:t>级）和一般（</w:t>
      </w:r>
      <w:r>
        <w:rPr>
          <w:rFonts w:hint="eastAsia" w:ascii="宋体" w:hAnsi="宋体" w:eastAsia="宋体" w:cs="宋体"/>
          <w:kern w:val="0"/>
          <w:sz w:val="32"/>
          <w:szCs w:val="32"/>
        </w:rPr>
        <w:t>Ⅳ</w:t>
      </w:r>
      <w:r>
        <w:rPr>
          <w:rFonts w:ascii="Times New Roman" w:hAnsi="Times New Roman" w:eastAsia="仿宋_GB2312"/>
          <w:kern w:val="0"/>
          <w:sz w:val="32"/>
          <w:szCs w:val="32"/>
        </w:rPr>
        <w:t>级）四级。</w:t>
      </w:r>
    </w:p>
    <w:p w14:paraId="6CF49C5D">
      <w:pPr>
        <w:widowControl/>
        <w:spacing w:line="56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2.1  特别重大事件（</w:t>
      </w:r>
      <w:r>
        <w:rPr>
          <w:rFonts w:hint="eastAsia" w:ascii="宋体" w:hAnsi="宋体" w:eastAsia="宋体" w:cs="宋体"/>
          <w:kern w:val="0"/>
          <w:sz w:val="32"/>
          <w:szCs w:val="32"/>
        </w:rPr>
        <w:t>Ⅰ</w:t>
      </w:r>
      <w:r>
        <w:rPr>
          <w:rFonts w:ascii="Times New Roman" w:hAnsi="Times New Roman" w:eastAsia="楷体_GB2312"/>
          <w:kern w:val="0"/>
          <w:sz w:val="32"/>
          <w:szCs w:val="32"/>
        </w:rPr>
        <w:t>级）</w:t>
      </w:r>
    </w:p>
    <w:p w14:paraId="155DCD6A">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（１）一次事件伤亡100人以上，且危重人员多，或者核事故和突发放射事件、化学品泄漏事故导致大量人员伤亡，省政府或有关部门请求国家在医疗卫生救援工作上给予支持的突发公共事件。</w:t>
      </w:r>
    </w:p>
    <w:p w14:paraId="494EAA72">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（２）跨省（自治区、直辖市）的有特别严重人员伤亡的突发公共事件。</w:t>
      </w:r>
    </w:p>
    <w:p w14:paraId="473BCACF">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（３）国务院及其有关部门确定的其他需要开展医疗卫生救援工作的特别重大突发公共事件。</w:t>
      </w:r>
    </w:p>
    <w:p w14:paraId="61934C45">
      <w:pPr>
        <w:widowControl/>
        <w:spacing w:line="56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2.2重大事件（</w:t>
      </w:r>
      <w:r>
        <w:rPr>
          <w:rFonts w:hint="eastAsia" w:ascii="宋体" w:hAnsi="宋体" w:eastAsia="宋体" w:cs="宋体"/>
          <w:kern w:val="0"/>
          <w:sz w:val="32"/>
          <w:szCs w:val="32"/>
        </w:rPr>
        <w:t>Ⅱ</w:t>
      </w:r>
      <w:r>
        <w:rPr>
          <w:rFonts w:ascii="Times New Roman" w:hAnsi="Times New Roman" w:eastAsia="楷体_GB2312"/>
          <w:kern w:val="0"/>
          <w:sz w:val="32"/>
          <w:szCs w:val="32"/>
        </w:rPr>
        <w:t>级）</w:t>
      </w:r>
    </w:p>
    <w:p w14:paraId="06E3DF03">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（１）一次事件伤亡50人以上、100人以下，其中死亡和危重病例５例以上的突发公共事件。</w:t>
      </w:r>
    </w:p>
    <w:p w14:paraId="71EA3334">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（２）跨市的有严重人员伤亡的突发公共事件。</w:t>
      </w:r>
    </w:p>
    <w:p w14:paraId="1365995C">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（３）省级政府及其有关部门确定的其他需要开展医疗卫生救援工作的重大突发公共事件。</w:t>
      </w:r>
    </w:p>
    <w:p w14:paraId="0A79C4E3">
      <w:pPr>
        <w:widowControl/>
        <w:spacing w:line="56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2.3较大事件（</w:t>
      </w:r>
      <w:r>
        <w:rPr>
          <w:rFonts w:hint="eastAsia" w:ascii="宋体" w:hAnsi="宋体" w:eastAsia="宋体" w:cs="宋体"/>
          <w:kern w:val="0"/>
          <w:sz w:val="32"/>
          <w:szCs w:val="32"/>
        </w:rPr>
        <w:t>Ⅲ</w:t>
      </w:r>
      <w:r>
        <w:rPr>
          <w:rFonts w:ascii="Times New Roman" w:hAnsi="Times New Roman" w:eastAsia="楷体_GB2312"/>
          <w:kern w:val="0"/>
          <w:sz w:val="32"/>
          <w:szCs w:val="32"/>
        </w:rPr>
        <w:t>级）</w:t>
      </w:r>
    </w:p>
    <w:p w14:paraId="00C8A0C4">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（１）一次事件伤亡30人以上、50人以下，其中死亡和危重病例３例以上、５例以下的突发公共事件。</w:t>
      </w:r>
    </w:p>
    <w:p w14:paraId="7BD89791">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（２）市政府及其有关部门确定的其他需要开展医疗卫生救援工作的较大突发公共事件。</w:t>
      </w:r>
    </w:p>
    <w:p w14:paraId="34764447">
      <w:pPr>
        <w:widowControl/>
        <w:spacing w:line="56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2.4一般事件（</w:t>
      </w:r>
      <w:r>
        <w:rPr>
          <w:rFonts w:hint="eastAsia" w:ascii="宋体" w:hAnsi="宋体" w:eastAsia="宋体" w:cs="宋体"/>
          <w:kern w:val="0"/>
          <w:sz w:val="32"/>
          <w:szCs w:val="32"/>
        </w:rPr>
        <w:t>Ⅳ</w:t>
      </w:r>
      <w:r>
        <w:rPr>
          <w:rFonts w:ascii="Times New Roman" w:hAnsi="Times New Roman" w:eastAsia="楷体_GB2312"/>
          <w:kern w:val="0"/>
          <w:sz w:val="32"/>
          <w:szCs w:val="32"/>
        </w:rPr>
        <w:t>级）</w:t>
      </w:r>
    </w:p>
    <w:p w14:paraId="57B46CC8">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（１）一次事件伤亡30人以下，其中死亡和危重病例1例以上、3例以下的突发公共事件。</w:t>
      </w:r>
    </w:p>
    <w:p w14:paraId="1B5D0474">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（２）县级政府及其有关部门确定的其他需要开展医疗卫生救援工作的一般突发公共事件。</w:t>
      </w:r>
    </w:p>
    <w:p w14:paraId="753C242B">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上述有关数量表述中，“以上”含本数，“以下”不含本数。</w:t>
      </w:r>
    </w:p>
    <w:p w14:paraId="6006D969">
      <w:pPr>
        <w:widowControl/>
        <w:spacing w:line="560" w:lineRule="exact"/>
        <w:ind w:firstLine="640" w:firstLineChars="200"/>
        <w:rPr>
          <w:rFonts w:ascii="Times New Roman" w:hAnsi="Times New Roman" w:eastAsia="黑体"/>
          <w:kern w:val="0"/>
          <w:sz w:val="32"/>
          <w:szCs w:val="32"/>
        </w:rPr>
      </w:pPr>
      <w:r>
        <w:rPr>
          <w:rFonts w:ascii="Times New Roman" w:hAnsi="Times New Roman" w:eastAsia="黑体"/>
          <w:kern w:val="0"/>
          <w:sz w:val="32"/>
          <w:szCs w:val="32"/>
        </w:rPr>
        <w:t>3  组织体系及职责</w:t>
      </w:r>
    </w:p>
    <w:p w14:paraId="04196164">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社会事业局要在区管委会、突发公共事件应急指挥机构的统一领导下，与有关部门密切配合、协调一致，共同做好突发公共事件的医疗卫生救援工作。医疗卫生救援应急组织体系包括：区社会事业局成立的医疗卫生救援领导小组、现场医疗卫生救援指挥部、医疗卫生救援机构和专家组。</w:t>
      </w:r>
    </w:p>
    <w:p w14:paraId="1567C333">
      <w:pPr>
        <w:widowControl/>
        <w:spacing w:line="560" w:lineRule="exact"/>
        <w:ind w:firstLine="640" w:firstLineChars="200"/>
        <w:rPr>
          <w:rFonts w:ascii="Times New Roman" w:hAnsi="Times New Roman" w:eastAsia="楷体_GB2312"/>
          <w:kern w:val="0"/>
          <w:sz w:val="32"/>
          <w:szCs w:val="32"/>
        </w:rPr>
      </w:pPr>
      <w:r>
        <w:rPr>
          <w:rFonts w:ascii="Times New Roman" w:hAnsi="Times New Roman" w:eastAsia="楷体"/>
          <w:kern w:val="0"/>
          <w:sz w:val="32"/>
          <w:szCs w:val="32"/>
        </w:rPr>
        <w:t xml:space="preserve">3.1  </w:t>
      </w:r>
      <w:r>
        <w:rPr>
          <w:rFonts w:ascii="Times New Roman" w:hAnsi="Times New Roman" w:eastAsia="楷体_GB2312"/>
          <w:kern w:val="0"/>
          <w:sz w:val="32"/>
          <w:szCs w:val="32"/>
        </w:rPr>
        <w:t>医疗卫生救援领导小组</w:t>
      </w:r>
    </w:p>
    <w:p w14:paraId="4E26E3AF">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社会事业局成立区突发公共事件医疗卫生救援领导小组，由主要负责人任组长，分管负责人任副组长，有关处室负责人为成员，组织协调突发公共事件医疗卫生救援工作，区社会事业局卫生应急办公室负责日常工作。</w:t>
      </w:r>
    </w:p>
    <w:p w14:paraId="78E88868">
      <w:pPr>
        <w:widowControl/>
        <w:spacing w:line="560" w:lineRule="exact"/>
        <w:ind w:firstLine="640" w:firstLineChars="200"/>
        <w:rPr>
          <w:rFonts w:ascii="Times New Roman" w:hAnsi="Times New Roman" w:eastAsia="楷体"/>
          <w:kern w:val="0"/>
          <w:sz w:val="32"/>
          <w:szCs w:val="32"/>
        </w:rPr>
      </w:pPr>
      <w:r>
        <w:rPr>
          <w:rFonts w:ascii="Times New Roman" w:hAnsi="Times New Roman" w:eastAsia="楷体"/>
          <w:kern w:val="0"/>
          <w:sz w:val="32"/>
          <w:szCs w:val="32"/>
        </w:rPr>
        <w:t xml:space="preserve">3.2  </w:t>
      </w:r>
      <w:r>
        <w:rPr>
          <w:rFonts w:ascii="Times New Roman" w:hAnsi="Times New Roman" w:eastAsia="楷体_GB2312"/>
          <w:kern w:val="0"/>
          <w:sz w:val="32"/>
          <w:szCs w:val="32"/>
        </w:rPr>
        <w:t>现场医疗卫生救援指挥部</w:t>
      </w:r>
    </w:p>
    <w:p w14:paraId="4F44E2BD">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区社会事业局根据实际工作需要在突发公共事件发生现场设立现场医疗卫生救援指挥部，</w:t>
      </w:r>
      <w:r>
        <w:rPr>
          <w:rFonts w:ascii="Times New Roman" w:hAnsi="Times New Roman" w:eastAsia="仿宋_GB2312"/>
          <w:color w:val="000000"/>
          <w:kern w:val="0"/>
          <w:sz w:val="32"/>
          <w:szCs w:val="32"/>
        </w:rPr>
        <w:t>由现场最高卫生负责人担任指挥，</w:t>
      </w:r>
      <w:r>
        <w:rPr>
          <w:rFonts w:ascii="Times New Roman" w:hAnsi="Times New Roman" w:eastAsia="仿宋_GB2312"/>
          <w:kern w:val="0"/>
          <w:sz w:val="32"/>
          <w:szCs w:val="32"/>
        </w:rPr>
        <w:t>统一指挥协调现场医疗卫生救援工作。</w:t>
      </w:r>
    </w:p>
    <w:p w14:paraId="73AD5220">
      <w:pPr>
        <w:widowControl/>
        <w:spacing w:line="560" w:lineRule="exact"/>
        <w:ind w:firstLine="640" w:firstLineChars="200"/>
        <w:rPr>
          <w:rFonts w:ascii="Times New Roman" w:hAnsi="Times New Roman" w:eastAsia="楷体"/>
          <w:kern w:val="0"/>
          <w:sz w:val="32"/>
          <w:szCs w:val="32"/>
        </w:rPr>
      </w:pPr>
      <w:r>
        <w:rPr>
          <w:rFonts w:ascii="Times New Roman" w:hAnsi="Times New Roman" w:eastAsia="楷体"/>
          <w:kern w:val="0"/>
          <w:sz w:val="32"/>
          <w:szCs w:val="32"/>
        </w:rPr>
        <w:t xml:space="preserve">3.3  </w:t>
      </w:r>
      <w:r>
        <w:rPr>
          <w:rFonts w:ascii="Times New Roman" w:hAnsi="Times New Roman" w:eastAsia="楷体_GB2312"/>
          <w:kern w:val="0"/>
          <w:sz w:val="32"/>
          <w:szCs w:val="32"/>
        </w:rPr>
        <w:t>医疗卫生救援机构</w:t>
      </w:r>
    </w:p>
    <w:p w14:paraId="3C21B789">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color w:val="000000"/>
          <w:kern w:val="0"/>
          <w:sz w:val="32"/>
          <w:szCs w:val="32"/>
        </w:rPr>
        <w:t>各级各类医疗卫生机构（包括急救站、综合医院、疾病预防控制机构和卫生监督机构）承担突发公共事件的医疗卫生救援任务。</w:t>
      </w:r>
      <w:r>
        <w:rPr>
          <w:rFonts w:ascii="Times New Roman" w:hAnsi="Times New Roman" w:eastAsia="仿宋_GB2312"/>
          <w:kern w:val="0"/>
          <w:sz w:val="32"/>
          <w:szCs w:val="32"/>
        </w:rPr>
        <w:t>其中，急救站承担突发公共事件现场医疗卫生救援和伤员转运任务；各级医疗机构承担突发公共事件现场医疗卫生救援和</w:t>
      </w:r>
      <w:r>
        <w:rPr>
          <w:rFonts w:ascii="Times New Roman" w:hAnsi="Times New Roman" w:eastAsia="仿宋_GB2312"/>
          <w:color w:val="000000"/>
          <w:kern w:val="0"/>
          <w:sz w:val="32"/>
          <w:szCs w:val="32"/>
        </w:rPr>
        <w:t>医疗救治任务</w:t>
      </w:r>
      <w:r>
        <w:rPr>
          <w:rFonts w:ascii="Times New Roman" w:hAnsi="Times New Roman" w:eastAsia="仿宋_GB2312"/>
          <w:kern w:val="0"/>
          <w:sz w:val="32"/>
          <w:szCs w:val="32"/>
        </w:rPr>
        <w:t>；疾病预防控制机构和卫生监督机构根据各自职能做好突发公共事件中的疾病预防控制和卫生监督工作。</w:t>
      </w:r>
    </w:p>
    <w:p w14:paraId="5D2267DA">
      <w:pPr>
        <w:widowControl/>
        <w:spacing w:line="560" w:lineRule="exact"/>
        <w:ind w:firstLine="640" w:firstLineChars="200"/>
        <w:rPr>
          <w:rFonts w:ascii="Times New Roman" w:hAnsi="Times New Roman" w:eastAsia="楷体"/>
          <w:kern w:val="0"/>
          <w:sz w:val="32"/>
          <w:szCs w:val="32"/>
        </w:rPr>
      </w:pPr>
      <w:r>
        <w:rPr>
          <w:rFonts w:ascii="Times New Roman" w:hAnsi="Times New Roman" w:eastAsia="楷体"/>
          <w:kern w:val="0"/>
          <w:sz w:val="32"/>
          <w:szCs w:val="32"/>
        </w:rPr>
        <w:t xml:space="preserve">3.4  </w:t>
      </w:r>
      <w:r>
        <w:rPr>
          <w:rFonts w:ascii="Times New Roman" w:hAnsi="Times New Roman" w:eastAsia="楷体_GB2312"/>
          <w:kern w:val="0"/>
          <w:sz w:val="32"/>
          <w:szCs w:val="32"/>
        </w:rPr>
        <w:t>专家组</w:t>
      </w:r>
    </w:p>
    <w:p w14:paraId="2EFC5552">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区社会事业局应组建专家组，对突发公共事件医疗卫生救援工作提供咨询建议、技术指导和支持。</w:t>
      </w:r>
    </w:p>
    <w:p w14:paraId="0B7A2312">
      <w:pPr>
        <w:widowControl/>
        <w:spacing w:line="560" w:lineRule="exact"/>
        <w:ind w:firstLine="640" w:firstLineChars="200"/>
        <w:rPr>
          <w:rFonts w:ascii="Times New Roman" w:hAnsi="Times New Roman" w:eastAsia="黑体"/>
          <w:kern w:val="0"/>
          <w:sz w:val="32"/>
          <w:szCs w:val="32"/>
        </w:rPr>
      </w:pPr>
      <w:r>
        <w:rPr>
          <w:rFonts w:ascii="Times New Roman" w:hAnsi="Times New Roman" w:eastAsia="黑体"/>
          <w:kern w:val="0"/>
          <w:sz w:val="32"/>
          <w:szCs w:val="32"/>
        </w:rPr>
        <w:t>4  应急响应</w:t>
      </w:r>
    </w:p>
    <w:p w14:paraId="524EB31A">
      <w:pPr>
        <w:widowControl/>
        <w:spacing w:line="560" w:lineRule="exact"/>
        <w:ind w:firstLine="640" w:firstLineChars="200"/>
        <w:rPr>
          <w:rFonts w:ascii="Times New Roman" w:hAnsi="Times New Roman" w:eastAsia="楷体"/>
          <w:kern w:val="0"/>
          <w:sz w:val="32"/>
          <w:szCs w:val="32"/>
        </w:rPr>
      </w:pPr>
      <w:r>
        <w:rPr>
          <w:rFonts w:ascii="Times New Roman" w:hAnsi="Times New Roman" w:eastAsia="楷体"/>
          <w:kern w:val="0"/>
          <w:sz w:val="32"/>
          <w:szCs w:val="32"/>
        </w:rPr>
        <w:t>4.1  分级响应</w:t>
      </w:r>
    </w:p>
    <w:p w14:paraId="3F924FFC">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 xml:space="preserve">4.1.1 </w:t>
      </w:r>
      <w:r>
        <w:rPr>
          <w:rFonts w:hint="eastAsia" w:ascii="宋体" w:hAnsi="宋体" w:eastAsia="宋体" w:cs="宋体"/>
          <w:kern w:val="0"/>
          <w:sz w:val="32"/>
          <w:szCs w:val="32"/>
        </w:rPr>
        <w:t>Ⅳ</w:t>
      </w:r>
      <w:r>
        <w:rPr>
          <w:rFonts w:ascii="Times New Roman" w:hAnsi="Times New Roman" w:eastAsia="仿宋_GB2312"/>
          <w:kern w:val="0"/>
          <w:sz w:val="32"/>
          <w:szCs w:val="32"/>
        </w:rPr>
        <w:t>级响应</w:t>
      </w:r>
    </w:p>
    <w:p w14:paraId="5473448D">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w:t>
      </w:r>
      <w:r>
        <w:rPr>
          <w:rFonts w:hint="eastAsia" w:ascii="宋体" w:hAnsi="宋体" w:eastAsia="宋体" w:cs="宋体"/>
          <w:sz w:val="32"/>
          <w:szCs w:val="32"/>
        </w:rPr>
        <w:t>Ⅳ</w:t>
      </w:r>
      <w:r>
        <w:rPr>
          <w:rFonts w:ascii="Times New Roman" w:hAnsi="Times New Roman" w:eastAsia="仿宋_GB2312"/>
          <w:sz w:val="32"/>
          <w:szCs w:val="32"/>
        </w:rPr>
        <w:t>级响应启动条件</w:t>
      </w:r>
    </w:p>
    <w:p w14:paraId="1445C2E0">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符合下列条件之一的，启动医疗卫生救援应急的</w:t>
      </w:r>
      <w:r>
        <w:rPr>
          <w:rFonts w:hint="eastAsia" w:ascii="宋体" w:hAnsi="宋体" w:eastAsia="宋体" w:cs="宋体"/>
          <w:color w:val="000000"/>
          <w:sz w:val="32"/>
          <w:szCs w:val="32"/>
        </w:rPr>
        <w:t>Ⅳ</w:t>
      </w:r>
      <w:r>
        <w:rPr>
          <w:rFonts w:ascii="Times New Roman" w:hAnsi="Times New Roman" w:eastAsia="仿宋_GB2312"/>
          <w:color w:val="000000"/>
          <w:sz w:val="32"/>
          <w:szCs w:val="32"/>
        </w:rPr>
        <w:t>级响应：</w:t>
      </w:r>
    </w:p>
    <w:p w14:paraId="7074EA60">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a.发生一般突发公共事件，区管委会启动区突发公共事件总体应急预案。</w:t>
      </w:r>
    </w:p>
    <w:p w14:paraId="7A116958">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b.符合医疗卫生救援一般事件（</w:t>
      </w:r>
      <w:r>
        <w:rPr>
          <w:rFonts w:hint="eastAsia" w:ascii="宋体" w:hAnsi="宋体" w:eastAsia="宋体" w:cs="宋体"/>
          <w:color w:val="000000"/>
          <w:sz w:val="32"/>
          <w:szCs w:val="32"/>
        </w:rPr>
        <w:t>Ⅳ</w:t>
      </w:r>
      <w:r>
        <w:rPr>
          <w:rFonts w:ascii="Times New Roman" w:hAnsi="Times New Roman" w:eastAsia="仿宋_GB2312"/>
          <w:color w:val="000000"/>
          <w:sz w:val="32"/>
          <w:szCs w:val="32"/>
        </w:rPr>
        <w:t>级）级别的突发公共事件。</w:t>
      </w:r>
    </w:p>
    <w:p w14:paraId="13389010">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（2）</w:t>
      </w:r>
      <w:r>
        <w:rPr>
          <w:rFonts w:hint="eastAsia" w:ascii="宋体" w:hAnsi="宋体" w:eastAsia="宋体" w:cs="宋体"/>
          <w:color w:val="000000"/>
          <w:sz w:val="32"/>
          <w:szCs w:val="32"/>
        </w:rPr>
        <w:t>Ⅳ</w:t>
      </w:r>
      <w:r>
        <w:rPr>
          <w:rFonts w:ascii="Times New Roman" w:hAnsi="Times New Roman" w:eastAsia="仿宋_GB2312"/>
          <w:color w:val="000000"/>
          <w:sz w:val="32"/>
          <w:szCs w:val="32"/>
        </w:rPr>
        <w:t>级响应措施</w:t>
      </w:r>
    </w:p>
    <w:p w14:paraId="25256270">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w:t>
      </w:r>
      <w:r>
        <w:rPr>
          <w:rFonts w:ascii="Times New Roman" w:hAnsi="Times New Roman" w:eastAsia="仿宋_GB2312"/>
          <w:sz w:val="32"/>
          <w:szCs w:val="32"/>
        </w:rPr>
        <w:t>社会事业局</w:t>
      </w:r>
      <w:r>
        <w:rPr>
          <w:rFonts w:ascii="Times New Roman" w:hAnsi="Times New Roman" w:eastAsia="仿宋_GB2312"/>
          <w:color w:val="000000"/>
          <w:sz w:val="32"/>
          <w:szCs w:val="32"/>
        </w:rPr>
        <w:t>接到关于医疗卫生救援一般事件的有关指示、通报或报告后，立即启动区医疗卫生救援领导小组工作，组织开展现场医疗卫生救援工作，组织专家对伤病员及救治情况进行综合评估，及时向市卫生健康委、区管委会和区突发公共事件应急指挥机构报告有关处理情况，接受督导，必要时请求省、市卫生健康行政部门派专家提供技术指导支持。</w:t>
      </w:r>
    </w:p>
    <w:p w14:paraId="50810987">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 xml:space="preserve">4.1.2 </w:t>
      </w:r>
      <w:r>
        <w:rPr>
          <w:rFonts w:hint="eastAsia" w:ascii="宋体" w:hAnsi="宋体" w:eastAsia="宋体" w:cs="宋体"/>
          <w:color w:val="000000"/>
          <w:sz w:val="32"/>
          <w:szCs w:val="32"/>
        </w:rPr>
        <w:t>Ⅲ</w:t>
      </w:r>
      <w:r>
        <w:rPr>
          <w:rFonts w:ascii="Times New Roman" w:hAnsi="Times New Roman" w:eastAsia="仿宋_GB2312"/>
          <w:color w:val="000000"/>
          <w:sz w:val="32"/>
          <w:szCs w:val="32"/>
        </w:rPr>
        <w:t>级响应</w:t>
      </w:r>
    </w:p>
    <w:p w14:paraId="1BCD63A5">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w:t>
      </w:r>
      <w:r>
        <w:rPr>
          <w:rFonts w:hint="eastAsia" w:ascii="宋体" w:hAnsi="宋体" w:eastAsia="宋体" w:cs="宋体"/>
          <w:color w:val="000000"/>
          <w:sz w:val="32"/>
          <w:szCs w:val="32"/>
        </w:rPr>
        <w:t>Ⅲ</w:t>
      </w:r>
      <w:r>
        <w:rPr>
          <w:rFonts w:ascii="Times New Roman" w:hAnsi="Times New Roman" w:eastAsia="仿宋_GB2312"/>
          <w:color w:val="000000"/>
          <w:sz w:val="32"/>
          <w:szCs w:val="32"/>
        </w:rPr>
        <w:t>级响应启动条件</w:t>
      </w:r>
    </w:p>
    <w:p w14:paraId="390DA34B">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符合下列条件之一的，启动医疗卫生救援应急的</w:t>
      </w:r>
      <w:r>
        <w:rPr>
          <w:rFonts w:hint="eastAsia" w:ascii="宋体" w:hAnsi="宋体" w:eastAsia="宋体" w:cs="宋体"/>
          <w:color w:val="000000"/>
          <w:sz w:val="32"/>
          <w:szCs w:val="32"/>
        </w:rPr>
        <w:t>Ⅲ</w:t>
      </w:r>
      <w:r>
        <w:rPr>
          <w:rFonts w:ascii="Times New Roman" w:hAnsi="Times New Roman" w:eastAsia="仿宋_GB2312"/>
          <w:color w:val="000000"/>
          <w:sz w:val="32"/>
          <w:szCs w:val="32"/>
        </w:rPr>
        <w:t>级响应：</w:t>
      </w:r>
    </w:p>
    <w:p w14:paraId="15243FAB">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a.发生较大突发公共事件，市政府启动市突发公共事件应急预案。</w:t>
      </w:r>
    </w:p>
    <w:p w14:paraId="75C976DB">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b.符合医疗卫生救援较大事件（</w:t>
      </w:r>
      <w:r>
        <w:rPr>
          <w:rFonts w:hint="eastAsia" w:ascii="宋体" w:hAnsi="宋体" w:eastAsia="宋体" w:cs="宋体"/>
          <w:color w:val="000000"/>
          <w:sz w:val="32"/>
          <w:szCs w:val="32"/>
        </w:rPr>
        <w:t>Ⅲ</w:t>
      </w:r>
      <w:r>
        <w:rPr>
          <w:rFonts w:ascii="Times New Roman" w:hAnsi="Times New Roman" w:eastAsia="仿宋_GB2312"/>
          <w:color w:val="000000"/>
          <w:sz w:val="32"/>
          <w:szCs w:val="32"/>
        </w:rPr>
        <w:t>级）级别的突发公共事件。</w:t>
      </w:r>
    </w:p>
    <w:p w14:paraId="6DCF86FF">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（2）</w:t>
      </w:r>
      <w:r>
        <w:rPr>
          <w:rFonts w:hint="eastAsia" w:ascii="宋体" w:hAnsi="宋体" w:eastAsia="宋体" w:cs="宋体"/>
          <w:color w:val="000000"/>
          <w:sz w:val="32"/>
          <w:szCs w:val="32"/>
        </w:rPr>
        <w:t>Ⅲ</w:t>
      </w:r>
      <w:r>
        <w:rPr>
          <w:rFonts w:ascii="Times New Roman" w:hAnsi="Times New Roman" w:eastAsia="仿宋_GB2312"/>
          <w:color w:val="000000"/>
          <w:sz w:val="32"/>
          <w:szCs w:val="32"/>
        </w:rPr>
        <w:t>级响应措施</w:t>
      </w:r>
    </w:p>
    <w:p w14:paraId="598F4B6A">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w:t>
      </w:r>
      <w:r>
        <w:rPr>
          <w:rFonts w:ascii="Times New Roman" w:hAnsi="Times New Roman" w:eastAsia="仿宋_GB2312"/>
          <w:sz w:val="32"/>
          <w:szCs w:val="32"/>
        </w:rPr>
        <w:t>社会事业局</w:t>
      </w:r>
      <w:r>
        <w:rPr>
          <w:rFonts w:ascii="Times New Roman" w:hAnsi="Times New Roman" w:eastAsia="仿宋_GB2312"/>
          <w:color w:val="000000"/>
          <w:sz w:val="32"/>
          <w:szCs w:val="32"/>
        </w:rPr>
        <w:t>接到关于医疗卫生救援较大事件的有关指示、通报或报告后，在市卫生健康委和区管委会的领导和指挥下，立即启动区医疗卫生救援领导小组工作，迅速组织协调医疗卫生救援机构开展现场医疗卫生救援，指导和协调落实医疗救治等措施，组织专家对伤病员及救治情况进行综合评估，及时向市卫生健康委和区管委会报告有关处理情况。　　</w:t>
      </w:r>
    </w:p>
    <w:p w14:paraId="62415166">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 xml:space="preserve">4.1.3 </w:t>
      </w:r>
      <w:r>
        <w:rPr>
          <w:rFonts w:hint="eastAsia" w:ascii="宋体" w:hAnsi="宋体" w:eastAsia="宋体" w:cs="宋体"/>
          <w:color w:val="000000"/>
          <w:sz w:val="32"/>
          <w:szCs w:val="32"/>
        </w:rPr>
        <w:t>Ⅱ</w:t>
      </w:r>
      <w:r>
        <w:rPr>
          <w:rFonts w:ascii="Times New Roman" w:hAnsi="Times New Roman" w:eastAsia="仿宋_GB2312"/>
          <w:color w:val="000000"/>
          <w:sz w:val="32"/>
          <w:szCs w:val="32"/>
        </w:rPr>
        <w:t>级响应</w:t>
      </w:r>
    </w:p>
    <w:p w14:paraId="6AAED9E2">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w:t>
      </w:r>
      <w:r>
        <w:rPr>
          <w:rFonts w:hint="eastAsia" w:ascii="宋体" w:hAnsi="宋体" w:eastAsia="宋体" w:cs="宋体"/>
          <w:color w:val="000000"/>
          <w:sz w:val="32"/>
          <w:szCs w:val="32"/>
        </w:rPr>
        <w:t>Ⅱ</w:t>
      </w:r>
      <w:r>
        <w:rPr>
          <w:rFonts w:ascii="Times New Roman" w:hAnsi="Times New Roman" w:eastAsia="仿宋_GB2312"/>
          <w:color w:val="000000"/>
          <w:sz w:val="32"/>
          <w:szCs w:val="32"/>
        </w:rPr>
        <w:t>级响应启动条件</w:t>
      </w:r>
    </w:p>
    <w:p w14:paraId="7C42CA05">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符合下列条件之一的，启动医疗卫生救援应急的</w:t>
      </w:r>
      <w:r>
        <w:rPr>
          <w:rFonts w:hint="eastAsia" w:ascii="宋体" w:hAnsi="宋体" w:eastAsia="宋体" w:cs="宋体"/>
          <w:color w:val="000000"/>
          <w:sz w:val="32"/>
          <w:szCs w:val="32"/>
        </w:rPr>
        <w:t>Ⅱ</w:t>
      </w:r>
      <w:r>
        <w:rPr>
          <w:rFonts w:ascii="Times New Roman" w:hAnsi="Times New Roman" w:eastAsia="仿宋_GB2312"/>
          <w:color w:val="000000"/>
          <w:sz w:val="32"/>
          <w:szCs w:val="32"/>
        </w:rPr>
        <w:t>级响应：</w:t>
      </w:r>
    </w:p>
    <w:p w14:paraId="00634D54">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a.发生重大突发公共事件，省政府启动省突发公共事件应急预案。</w:t>
      </w:r>
    </w:p>
    <w:p w14:paraId="18E94ACC">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b.符合医疗卫生救援重大事件（</w:t>
      </w:r>
      <w:r>
        <w:rPr>
          <w:rFonts w:hint="eastAsia" w:ascii="宋体" w:hAnsi="宋体" w:eastAsia="宋体" w:cs="宋体"/>
          <w:color w:val="000000"/>
          <w:sz w:val="32"/>
          <w:szCs w:val="32"/>
        </w:rPr>
        <w:t>Ⅱ</w:t>
      </w:r>
      <w:r>
        <w:rPr>
          <w:rFonts w:ascii="Times New Roman" w:hAnsi="Times New Roman" w:eastAsia="仿宋_GB2312"/>
          <w:color w:val="000000"/>
          <w:sz w:val="32"/>
          <w:szCs w:val="32"/>
        </w:rPr>
        <w:t>级）级别的突发公共事件。</w:t>
      </w:r>
    </w:p>
    <w:p w14:paraId="2B30782A">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（2）</w:t>
      </w:r>
      <w:r>
        <w:rPr>
          <w:rFonts w:hint="eastAsia" w:ascii="宋体" w:hAnsi="宋体" w:eastAsia="宋体" w:cs="宋体"/>
          <w:color w:val="000000"/>
          <w:sz w:val="32"/>
          <w:szCs w:val="32"/>
        </w:rPr>
        <w:t>Ⅱ</w:t>
      </w:r>
      <w:r>
        <w:rPr>
          <w:rFonts w:ascii="Times New Roman" w:hAnsi="Times New Roman" w:eastAsia="仿宋_GB2312"/>
          <w:color w:val="000000"/>
          <w:sz w:val="32"/>
          <w:szCs w:val="32"/>
        </w:rPr>
        <w:t>级响应措施</w:t>
      </w:r>
    </w:p>
    <w:p w14:paraId="2649C78D">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w:t>
      </w:r>
      <w:r>
        <w:rPr>
          <w:rFonts w:ascii="Times New Roman" w:hAnsi="Times New Roman" w:eastAsia="仿宋_GB2312"/>
          <w:sz w:val="32"/>
          <w:szCs w:val="32"/>
        </w:rPr>
        <w:t>社会事业局</w:t>
      </w:r>
      <w:r>
        <w:rPr>
          <w:rFonts w:ascii="Times New Roman" w:hAnsi="Times New Roman" w:eastAsia="仿宋_GB2312"/>
          <w:color w:val="000000"/>
          <w:sz w:val="32"/>
          <w:szCs w:val="32"/>
        </w:rPr>
        <w:t>接到关于医疗卫生救援重大事件的有关指示、通报或报告后，在市卫生健康委和区管委会的领导和指挥下，立即启动区医疗卫生救援领导小组工作，迅速组织协调医疗卫生救援机构开展现场医疗卫生救援，指导和协调落实医疗救治等措施，组织专家对伤病员及救治情况进行综合评估，及时向市卫生健康委和区管委会报告有关处理情况。</w:t>
      </w:r>
    </w:p>
    <w:p w14:paraId="7E03893E">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 xml:space="preserve">4.1.4 </w:t>
      </w:r>
      <w:r>
        <w:rPr>
          <w:rFonts w:hint="eastAsia" w:ascii="宋体" w:hAnsi="宋体" w:eastAsia="宋体" w:cs="宋体"/>
          <w:color w:val="000000"/>
          <w:sz w:val="32"/>
          <w:szCs w:val="32"/>
        </w:rPr>
        <w:t>Ⅰ</w:t>
      </w:r>
      <w:r>
        <w:rPr>
          <w:rFonts w:ascii="Times New Roman" w:hAnsi="Times New Roman" w:eastAsia="仿宋_GB2312"/>
          <w:color w:val="000000"/>
          <w:sz w:val="32"/>
          <w:szCs w:val="32"/>
        </w:rPr>
        <w:t>级响应</w:t>
      </w:r>
    </w:p>
    <w:p w14:paraId="5CDF1B3D">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w:t>
      </w:r>
      <w:r>
        <w:rPr>
          <w:rFonts w:hint="eastAsia" w:ascii="宋体" w:hAnsi="宋体" w:eastAsia="宋体" w:cs="宋体"/>
          <w:color w:val="000000"/>
          <w:sz w:val="32"/>
          <w:szCs w:val="32"/>
        </w:rPr>
        <w:t>Ⅰ</w:t>
      </w:r>
      <w:r>
        <w:rPr>
          <w:rFonts w:ascii="Times New Roman" w:hAnsi="Times New Roman" w:eastAsia="仿宋_GB2312"/>
          <w:color w:val="000000"/>
          <w:sz w:val="32"/>
          <w:szCs w:val="32"/>
        </w:rPr>
        <w:t>级响应启动条件</w:t>
      </w:r>
    </w:p>
    <w:p w14:paraId="2E022E07">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符合下列条件之一的，启动医疗卫生救援应急的I级响应：</w:t>
      </w:r>
    </w:p>
    <w:p w14:paraId="1BDD708F">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a.发生特别重大突发公共事件，国务院启动国家突发公共事件总体应急预案。</w:t>
      </w:r>
    </w:p>
    <w:p w14:paraId="1132DA0F">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b.发生特别重大突发公共事件，国务院有关部门启动国家突发公共事件专项应急预案。</w:t>
      </w:r>
    </w:p>
    <w:p w14:paraId="71214E16">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c.符合医疗卫生救援特别重大事件（I级）级别的突发公共事件。</w:t>
      </w:r>
    </w:p>
    <w:p w14:paraId="251E42E5">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（2）</w:t>
      </w:r>
      <w:r>
        <w:rPr>
          <w:rFonts w:hint="eastAsia" w:ascii="宋体" w:hAnsi="宋体" w:eastAsia="宋体" w:cs="宋体"/>
          <w:color w:val="000000"/>
          <w:sz w:val="32"/>
          <w:szCs w:val="32"/>
        </w:rPr>
        <w:t>Ⅰ</w:t>
      </w:r>
      <w:r>
        <w:rPr>
          <w:rFonts w:ascii="Times New Roman" w:hAnsi="Times New Roman" w:eastAsia="仿宋_GB2312"/>
          <w:color w:val="000000"/>
          <w:sz w:val="32"/>
          <w:szCs w:val="32"/>
        </w:rPr>
        <w:t>级响应措施</w:t>
      </w:r>
    </w:p>
    <w:p w14:paraId="0045C7A9">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w:t>
      </w:r>
      <w:r>
        <w:rPr>
          <w:rFonts w:ascii="Times New Roman" w:hAnsi="Times New Roman" w:eastAsia="仿宋_GB2312"/>
          <w:sz w:val="32"/>
          <w:szCs w:val="32"/>
        </w:rPr>
        <w:t>社会事业局</w:t>
      </w:r>
      <w:r>
        <w:rPr>
          <w:rFonts w:ascii="Times New Roman" w:hAnsi="Times New Roman" w:eastAsia="仿宋_GB2312"/>
          <w:color w:val="000000"/>
          <w:sz w:val="32"/>
          <w:szCs w:val="32"/>
        </w:rPr>
        <w:t>接到关于医疗卫生救援特别重大事件的有关指示、通报或报告后，在市卫生健康委和区管委会的领导和指挥下，立即启动区医疗卫生救援领导小组工作，迅速组织协调医疗卫生救援机构开展现场医疗卫生救援，指导和协调落实医疗救治等措施，组织专家对伤病员及救治情况进行综合评估，及时向市卫生健康委和区管委会报告有关处理情况。</w:t>
      </w:r>
    </w:p>
    <w:p w14:paraId="430ECA67">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凡属启动国家、省级、市级总体应急预案和专项应急预案的响应，区突发公共事件医疗卫生救援领导小组按相关规定启动工作。</w:t>
      </w:r>
    </w:p>
    <w:p w14:paraId="56A6BFF4">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4.2  </w:t>
      </w:r>
      <w:r>
        <w:rPr>
          <w:rFonts w:ascii="Times New Roman" w:hAnsi="Times New Roman" w:eastAsia="楷体_GB2312"/>
          <w:sz w:val="32"/>
          <w:szCs w:val="32"/>
        </w:rPr>
        <w:t>现场医疗卫生救援及指挥</w:t>
      </w:r>
    </w:p>
    <w:p w14:paraId="0CDA2936">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医疗卫生救援应急队伍在接到救援指令后要立即赶赴现场，并根据现场情况全力开展医疗卫生救援工作。在实施医疗卫生救援过程中，要注意现场确认（包括现场的划分、现场的性质），并采取必要的自我防护措施，确保安全。</w:t>
      </w:r>
    </w:p>
    <w:p w14:paraId="687C8669">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为及时准确掌握现场情况，做好现场医疗卫生救援指挥工作，区</w:t>
      </w:r>
      <w:r>
        <w:rPr>
          <w:rFonts w:ascii="Times New Roman" w:hAnsi="Times New Roman" w:eastAsia="仿宋_GB2312"/>
          <w:sz w:val="32"/>
          <w:szCs w:val="32"/>
        </w:rPr>
        <w:t>社会事业局</w:t>
      </w:r>
      <w:r>
        <w:rPr>
          <w:rFonts w:ascii="Times New Roman" w:hAnsi="Times New Roman" w:eastAsia="仿宋_GB2312"/>
          <w:color w:val="000000"/>
          <w:sz w:val="32"/>
          <w:szCs w:val="32"/>
        </w:rPr>
        <w:t>应在事发现场设置现场医疗卫生救援指挥部，主要或分管负责人亲临现场，靠前指挥，减少中间环节，提高决策效率，加快抢救进程。现场医疗卫生救援指挥部要接受突发公共事件现场处置指挥机构的领导，加强与现场各救援部门的沟通与协调。</w:t>
      </w:r>
    </w:p>
    <w:p w14:paraId="512894B9">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4.2.1  现场抢救</w:t>
      </w:r>
    </w:p>
    <w:p w14:paraId="03A105B0">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到达现场的医疗卫生救援应急队伍，要迅速将伤病员转送出危险区，按照“先救命后治伤、先救重后救轻”的原则开展工作。对伤病员进行检伤分类，用绿、黄、红、黑四种颜色，对轻、重、危重伤病员和死亡人员作出标志（分类标记用塑料材料制成腕带）， 扣系在伤病员或死亡人员的手腕或脚踝部位，以便后续救治辨认或采取相应的措施。</w:t>
      </w:r>
    </w:p>
    <w:p w14:paraId="5D2CE82F">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对中毒、辐射、爆震等一些特殊类别的突发公共事件，短时间出现大批复合伤病员，致伤因素复杂多样，要根据不同的致病因素和特点进行检伤分类。</w:t>
      </w:r>
    </w:p>
    <w:p w14:paraId="40CA673A">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在检伤分类的基础上，开辟安全区域，充分利用现场条件设立特定功能分区，将不同级别的伤病员分区、分级进行急救处理，各区应标有明显的标志牌及相应的色带或色旗。</w:t>
      </w:r>
    </w:p>
    <w:p w14:paraId="4C4B4F80">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在实施现场抢救的过程中，切实做好消毒隔离、个人防护和医疗垃圾处理工作，防止交叉感染和污染。</w:t>
      </w:r>
    </w:p>
    <w:p w14:paraId="441061BB">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4.2.2  转送伤病员</w:t>
      </w:r>
    </w:p>
    <w:p w14:paraId="4B8DB11D">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当现场环境危险或在伤病员情况允许时，要尽快将符合转送条件的伤病员转送并做好以下工作：</w:t>
      </w:r>
    </w:p>
    <w:p w14:paraId="67DA5E11">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（1）对已经检伤分类待送的伤病员进行复检。对有活动性大出血或转运途中有生命危险的急危重症病人，应就地给予抢救、治疗，做必要的处理后再进行监护下转运。</w:t>
      </w:r>
    </w:p>
    <w:p w14:paraId="12EB898D">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（2）认真填写转运卡提交接纳的医疗机构，同时报现场医疗卫生救援指挥部汇总。</w:t>
      </w:r>
    </w:p>
    <w:p w14:paraId="70174599">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（3）在转运中，医护人员必须密切观察伤病员病情变化，并确保治疗持续进行。</w:t>
      </w:r>
    </w:p>
    <w:p w14:paraId="560351C5">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（4）在转运过程中要科学搬运，避免造成二次损伤。</w:t>
      </w:r>
    </w:p>
    <w:p w14:paraId="3729607A">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（5）合理分流伤病员或按现场医疗卫生救援指挥部指定的地点转送，任何医疗机构不得以任何理由拒诊、拒收伤病员。</w:t>
      </w:r>
    </w:p>
    <w:p w14:paraId="280AE7ED">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4.3  医疗救治</w:t>
      </w:r>
    </w:p>
    <w:p w14:paraId="6C631F38">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各级各类医疗机构接到救援指令后，要迅速做好以下工作：</w:t>
      </w:r>
    </w:p>
    <w:p w14:paraId="47DA7331">
      <w:pPr>
        <w:spacing w:line="560" w:lineRule="exact"/>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t>（1）成立应急医疗救治领导小组和抢救专班。</w:t>
      </w:r>
    </w:p>
    <w:p w14:paraId="71BAA777">
      <w:pPr>
        <w:spacing w:line="560" w:lineRule="exact"/>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t>（2）必要时，动员轻病人出院或转院，腾出空床。</w:t>
      </w:r>
    </w:p>
    <w:p w14:paraId="7FB5B099">
      <w:pPr>
        <w:spacing w:line="560" w:lineRule="exact"/>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t>（3）开通绿色通道，接诊、接收转运的伤病员。</w:t>
      </w:r>
    </w:p>
    <w:p w14:paraId="4E7F45F1">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4.4  </w:t>
      </w:r>
      <w:r>
        <w:rPr>
          <w:rFonts w:ascii="Times New Roman" w:hAnsi="Times New Roman" w:eastAsia="楷体_GB2312"/>
          <w:color w:val="000000"/>
          <w:sz w:val="32"/>
          <w:szCs w:val="32"/>
        </w:rPr>
        <w:t>疾病预防控制和卫生监督工作</w:t>
      </w:r>
    </w:p>
    <w:p w14:paraId="1D5BDD4A">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突发公共事件发生后，区</w:t>
      </w:r>
      <w:r>
        <w:rPr>
          <w:rFonts w:ascii="Times New Roman" w:hAnsi="Times New Roman" w:eastAsia="仿宋_GB2312"/>
          <w:sz w:val="32"/>
          <w:szCs w:val="32"/>
        </w:rPr>
        <w:t>社会事业局</w:t>
      </w:r>
      <w:r>
        <w:rPr>
          <w:rFonts w:ascii="Times New Roman" w:hAnsi="Times New Roman" w:eastAsia="仿宋_GB2312"/>
          <w:color w:val="000000"/>
          <w:sz w:val="32"/>
          <w:szCs w:val="32"/>
        </w:rPr>
        <w:t>要根据情况组织疾病预防控制和卫生监督等有关专业机构和人员，开展卫生学调查和评价、卫生执法监督，采取有效的预防控制措施，防止发生次生、衍生突发公共卫生事件，确保大灾之后无大疫。</w:t>
      </w:r>
    </w:p>
    <w:p w14:paraId="4B91AE2E">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4.5  </w:t>
      </w:r>
      <w:r>
        <w:rPr>
          <w:rFonts w:ascii="Times New Roman" w:hAnsi="Times New Roman" w:eastAsia="楷体_GB2312"/>
          <w:color w:val="000000"/>
          <w:sz w:val="32"/>
          <w:szCs w:val="32"/>
        </w:rPr>
        <w:t>信息报告和发布</w:t>
      </w:r>
    </w:p>
    <w:p w14:paraId="38B001EA">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各级各类医疗机构在迅速开展医疗卫生救援工作的同时，要立即将人员伤亡、抢救等情况报告现场医疗卫生救援指挥部或区</w:t>
      </w:r>
      <w:r>
        <w:rPr>
          <w:rFonts w:ascii="Times New Roman" w:hAnsi="Times New Roman" w:eastAsia="仿宋_GB2312"/>
          <w:sz w:val="32"/>
          <w:szCs w:val="32"/>
        </w:rPr>
        <w:t>社会事业局</w:t>
      </w:r>
      <w:r>
        <w:rPr>
          <w:rFonts w:ascii="Times New Roman" w:hAnsi="Times New Roman" w:eastAsia="仿宋_GB2312"/>
          <w:color w:val="000000"/>
          <w:sz w:val="32"/>
          <w:szCs w:val="32"/>
        </w:rPr>
        <w:t>。</w:t>
      </w:r>
    </w:p>
    <w:p w14:paraId="5BE40095">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现场医疗卫生救援指挥部、承担医疗卫生救援任务的医疗卫生机构要每日向区</w:t>
      </w:r>
      <w:r>
        <w:rPr>
          <w:rFonts w:ascii="Times New Roman" w:hAnsi="Times New Roman" w:eastAsia="仿宋_GB2312"/>
          <w:sz w:val="32"/>
          <w:szCs w:val="32"/>
        </w:rPr>
        <w:t>社会事业局</w:t>
      </w:r>
      <w:r>
        <w:rPr>
          <w:rFonts w:ascii="Times New Roman" w:hAnsi="Times New Roman" w:eastAsia="仿宋_GB2312"/>
          <w:color w:val="000000"/>
          <w:sz w:val="32"/>
          <w:szCs w:val="32"/>
        </w:rPr>
        <w:t>报告伤病员情况、医疗救治、卫生防疫进展等，重要情况要随时报告。区</w:t>
      </w:r>
      <w:r>
        <w:rPr>
          <w:rFonts w:ascii="Times New Roman" w:hAnsi="Times New Roman" w:eastAsia="仿宋_GB2312"/>
          <w:sz w:val="32"/>
          <w:szCs w:val="32"/>
        </w:rPr>
        <w:t>社会事业局</w:t>
      </w:r>
      <w:r>
        <w:rPr>
          <w:rFonts w:ascii="Times New Roman" w:hAnsi="Times New Roman" w:eastAsia="仿宋_GB2312"/>
          <w:color w:val="000000"/>
          <w:sz w:val="32"/>
          <w:szCs w:val="32"/>
        </w:rPr>
        <w:t>要及时汇总整理，向区管委会和突发公共事件应急指挥机构报告有关情况。</w:t>
      </w:r>
    </w:p>
    <w:p w14:paraId="371DAA27">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w:t>
      </w:r>
      <w:r>
        <w:rPr>
          <w:rFonts w:ascii="Times New Roman" w:hAnsi="Times New Roman" w:eastAsia="仿宋_GB2312"/>
          <w:sz w:val="32"/>
          <w:szCs w:val="32"/>
        </w:rPr>
        <w:t>社会事业局</w:t>
      </w:r>
      <w:r>
        <w:rPr>
          <w:rFonts w:ascii="Times New Roman" w:hAnsi="Times New Roman" w:eastAsia="仿宋_GB2312"/>
          <w:color w:val="000000"/>
          <w:sz w:val="32"/>
          <w:szCs w:val="32"/>
        </w:rPr>
        <w:t>要在区管委会和突发公共事件应急指挥机构的统一部署下，按照有关规定做好突发公共事件医疗卫生救援信息发布工作。</w:t>
      </w:r>
    </w:p>
    <w:p w14:paraId="31535EB7">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4.6  </w:t>
      </w:r>
      <w:r>
        <w:rPr>
          <w:rFonts w:ascii="Times New Roman" w:hAnsi="Times New Roman" w:eastAsia="楷体_GB2312"/>
          <w:color w:val="000000"/>
          <w:sz w:val="32"/>
          <w:szCs w:val="32"/>
        </w:rPr>
        <w:t>响应终止</w:t>
      </w:r>
    </w:p>
    <w:p w14:paraId="0EEA3273">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突发公共事件现场医疗卫生救援工作完成后，伤病员在医疗机构得到救治，经区管委会或突发公共事件应急指挥机构的批准，由区医疗卫生救援领导小组宣布医疗卫生救援应急响应终止，并将医疗卫生救援应急响应终止的信息报告市卫生健康委。</w:t>
      </w:r>
    </w:p>
    <w:p w14:paraId="679A7974">
      <w:pPr>
        <w:spacing w:line="56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5  保障措施</w:t>
      </w:r>
    </w:p>
    <w:p w14:paraId="4EA10D1B">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5.1  </w:t>
      </w:r>
      <w:r>
        <w:rPr>
          <w:rFonts w:ascii="Times New Roman" w:hAnsi="Times New Roman" w:eastAsia="楷体_GB2312"/>
          <w:color w:val="000000"/>
          <w:sz w:val="32"/>
          <w:szCs w:val="32"/>
        </w:rPr>
        <w:t>信息系统</w:t>
      </w:r>
    </w:p>
    <w:p w14:paraId="74846E34">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在充分利用现有资源的基础上，建立健全医疗救治信息网络，实现医疗机构与卫生健康行政部门之间、相关部门间的信息共享。医疗救治信息网络各组成部分之间建立有效的横向、纵向信息连接。</w:t>
      </w:r>
    </w:p>
    <w:p w14:paraId="68DB7815">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5.2  </w:t>
      </w:r>
      <w:r>
        <w:rPr>
          <w:rFonts w:ascii="Times New Roman" w:hAnsi="Times New Roman" w:eastAsia="楷体_GB2312"/>
          <w:color w:val="000000"/>
          <w:sz w:val="32"/>
          <w:szCs w:val="32"/>
        </w:rPr>
        <w:t>急救机构</w:t>
      </w:r>
    </w:p>
    <w:p w14:paraId="215B5BE0">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根据服务人口和应急救治工作需求，依托综合力量较强的医院为紧急救援机构的落地医院，并合理布局，建立全区统一指挥的急救网络。中心城区平均急救半径控制在3-5公里，平均反应时间保持在10分钟内，回车率小于3％；城市郊区、农村平均急救半径控制在10公里以内，平均反应时间保持在20分钟内，回车率小于3％。</w:t>
      </w:r>
    </w:p>
    <w:p w14:paraId="0A0BAD6A">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急救机构由区社会事业局确定，报市卫生健康委备案，实行属地化管理。</w:t>
      </w:r>
    </w:p>
    <w:p w14:paraId="51A6D508">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5.3  </w:t>
      </w:r>
      <w:r>
        <w:rPr>
          <w:rFonts w:ascii="Times New Roman" w:hAnsi="Times New Roman" w:eastAsia="楷体_GB2312"/>
          <w:color w:val="000000"/>
          <w:sz w:val="32"/>
          <w:szCs w:val="32"/>
        </w:rPr>
        <w:t>医疗卫生救援应急队伍</w:t>
      </w:r>
    </w:p>
    <w:p w14:paraId="3150A3B6">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w:t>
      </w:r>
      <w:r>
        <w:rPr>
          <w:rFonts w:ascii="Times New Roman" w:hAnsi="Times New Roman" w:eastAsia="仿宋_GB2312"/>
          <w:sz w:val="32"/>
          <w:szCs w:val="32"/>
        </w:rPr>
        <w:t>社会事业局</w:t>
      </w:r>
      <w:r>
        <w:rPr>
          <w:rFonts w:ascii="Times New Roman" w:hAnsi="Times New Roman" w:eastAsia="仿宋_GB2312"/>
          <w:color w:val="000000"/>
          <w:sz w:val="32"/>
          <w:szCs w:val="32"/>
        </w:rPr>
        <w:t>健全综合性医疗卫生救援应急队伍（该队伍列入卫生应急处置队伍），并根据需要健全特殊专业应急医疗卫生救援队伍（如核辐射应急医疗队伍、化学中毒应急医疗队伍）。</w:t>
      </w:r>
    </w:p>
    <w:p w14:paraId="0A475BB8">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w:t>
      </w:r>
      <w:r>
        <w:rPr>
          <w:rFonts w:ascii="Times New Roman" w:hAnsi="Times New Roman" w:eastAsia="仿宋_GB2312"/>
          <w:sz w:val="32"/>
          <w:szCs w:val="32"/>
        </w:rPr>
        <w:t>社会事业局</w:t>
      </w:r>
      <w:r>
        <w:rPr>
          <w:rFonts w:ascii="Times New Roman" w:hAnsi="Times New Roman" w:eastAsia="仿宋_GB2312"/>
          <w:color w:val="000000"/>
          <w:sz w:val="32"/>
          <w:szCs w:val="32"/>
        </w:rPr>
        <w:t>要保证医疗救援工作队伍的稳定，严格管理，每年开展培训和演练1-2次，提高应急救治能力。医疗卫生救援演练需要公众参与的，须报经区管委会同意。</w:t>
      </w:r>
    </w:p>
    <w:p w14:paraId="337D6A09">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5.4  血液储备</w:t>
      </w:r>
    </w:p>
    <w:p w14:paraId="62F99D5D">
      <w:pPr>
        <w:spacing w:line="560" w:lineRule="exact"/>
        <w:ind w:firstLine="640" w:firstLineChars="200"/>
        <w:rPr>
          <w:rFonts w:ascii="Times New Roman" w:hAnsi="Times New Roman" w:eastAsia="楷体"/>
          <w:color w:val="000000"/>
          <w:sz w:val="32"/>
          <w:szCs w:val="32"/>
        </w:rPr>
      </w:pPr>
      <w:r>
        <w:rPr>
          <w:rFonts w:ascii="Times New Roman" w:hAnsi="Times New Roman" w:eastAsia="仿宋_GB2312"/>
          <w:color w:val="000000"/>
          <w:sz w:val="32"/>
          <w:szCs w:val="32"/>
        </w:rPr>
        <w:t>区</w:t>
      </w:r>
      <w:r>
        <w:rPr>
          <w:rFonts w:ascii="Times New Roman" w:hAnsi="Times New Roman" w:eastAsia="仿宋_GB2312"/>
          <w:sz w:val="32"/>
          <w:szCs w:val="32"/>
        </w:rPr>
        <w:t>社会事业局提出医疗卫生救援血液储备计划建议，由市中心血站负责储备。紧急情况下，区管委会号召企业员工、大专院校学生、机关干部无偿献血。</w:t>
      </w:r>
    </w:p>
    <w:p w14:paraId="6C769E3B">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5.5  </w:t>
      </w:r>
      <w:r>
        <w:rPr>
          <w:rFonts w:ascii="Times New Roman" w:hAnsi="Times New Roman" w:eastAsia="楷体_GB2312"/>
          <w:color w:val="000000"/>
          <w:sz w:val="32"/>
          <w:szCs w:val="32"/>
        </w:rPr>
        <w:t>物资储备</w:t>
      </w:r>
    </w:p>
    <w:p w14:paraId="1EB28E6C">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w:t>
      </w:r>
      <w:r>
        <w:rPr>
          <w:rFonts w:ascii="Times New Roman" w:hAnsi="Times New Roman" w:eastAsia="仿宋_GB2312"/>
          <w:sz w:val="32"/>
          <w:szCs w:val="32"/>
        </w:rPr>
        <w:t>社会事业局</w:t>
      </w:r>
      <w:r>
        <w:rPr>
          <w:rFonts w:ascii="Times New Roman" w:hAnsi="Times New Roman" w:eastAsia="仿宋_GB2312"/>
          <w:color w:val="000000"/>
          <w:sz w:val="32"/>
          <w:szCs w:val="32"/>
        </w:rPr>
        <w:t>提出医疗卫生救援应急药品、医疗器械、设备、快速检测器材和试剂、卫生防护用品等物资的储备计划建议。区经济发展局负责突发公共事件医疗卫生救援应急药品、药械的生产、储备和调运，确保供应。区综合行政执法局要加强有关药品和相关商品价格的检查督促，维护市场价格秩序。医疗储备物资的动用，按照国家发改委《国家医药储备应急预案》执行。应急储备物资使用后要及时补充。</w:t>
      </w:r>
    </w:p>
    <w:p w14:paraId="412E6C5F">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5.6  </w:t>
      </w:r>
      <w:r>
        <w:rPr>
          <w:rFonts w:ascii="Times New Roman" w:hAnsi="Times New Roman" w:eastAsia="楷体_GB2312"/>
          <w:color w:val="000000"/>
          <w:sz w:val="32"/>
          <w:szCs w:val="32"/>
        </w:rPr>
        <w:t>经费保障</w:t>
      </w:r>
    </w:p>
    <w:p w14:paraId="2CCFC8ED">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区财政局负责安排突发公共事件医疗卫生救援所需经费，并做好经费使用情况监管工作。</w:t>
      </w:r>
    </w:p>
    <w:p w14:paraId="309BF7E6">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自然灾害导致的人员伤亡，按照有关规定解决医疗救治费用或给予补助。</w:t>
      </w:r>
    </w:p>
    <w:p w14:paraId="08D0293A">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安全生产事故引起的人员伤亡，由事故发生单位承担医疗卫生救援过程中发生的费用，有关部门负责督促落实。</w:t>
      </w:r>
    </w:p>
    <w:p w14:paraId="044C556C">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社会安全事件中发生的人员伤亡，由有关部门确定的责任单位或责任人承担医疗救治费用，有关部门负责督促落实。区财政局可根据有关政策规定或区管委会的决定对医疗救治费用给予补助。</w:t>
      </w:r>
    </w:p>
    <w:p w14:paraId="2D933532">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各类保险机构要按照有关规定，做好参加人身、医疗、健康等保险的伤亡人员的理赔工作。</w:t>
      </w:r>
    </w:p>
    <w:p w14:paraId="1BBE3697">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5.7  </w:t>
      </w:r>
      <w:r>
        <w:rPr>
          <w:rFonts w:ascii="Times New Roman" w:hAnsi="Times New Roman" w:eastAsia="楷体_GB2312"/>
          <w:color w:val="000000"/>
          <w:sz w:val="32"/>
          <w:szCs w:val="32"/>
        </w:rPr>
        <w:t>交通运输保障</w:t>
      </w:r>
    </w:p>
    <w:p w14:paraId="728E57B4">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区医疗卫生救援应急队伍要根据实际工作需要配备救护车辆、交通工具和通讯设备。</w:t>
      </w:r>
    </w:p>
    <w:p w14:paraId="2168CBFB">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公安分局、交警开发区大队等部门要保证医疗卫生救援人员和物资运输的优先安排、优先放行，确保运输安全畅通。情况特别紧急时，对现场相关通道实行交通管制，开设应急救援“绿色通道”，保证医疗卫生救援工作顺利开展。</w:t>
      </w:r>
    </w:p>
    <w:p w14:paraId="340F7F1A">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5.8  </w:t>
      </w:r>
      <w:r>
        <w:rPr>
          <w:rFonts w:ascii="Times New Roman" w:hAnsi="Times New Roman" w:eastAsia="楷体_GB2312"/>
          <w:color w:val="000000"/>
          <w:sz w:val="32"/>
          <w:szCs w:val="32"/>
        </w:rPr>
        <w:t>其他保障</w:t>
      </w:r>
    </w:p>
    <w:p w14:paraId="05894257">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区公安分局负责维护突发公共事件现场治安秩序，保证现场医疗卫生救援工作的顺利进行。</w:t>
      </w:r>
    </w:p>
    <w:p w14:paraId="0F04B4FE">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区科技局负责组织科研力量开展医疗卫生救援应急新技术的科研攻关，解决应急救援药物研发、快速检测和救援行动中的关键技术、共性技术问题。</w:t>
      </w:r>
    </w:p>
    <w:p w14:paraId="071BC8CC">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区综合保税区管理局、连云港海关驻综保区科室负责突发公共事件医疗卫生救援急需进口药品、试剂、器材的优先通关验放工作。</w:t>
      </w:r>
    </w:p>
    <w:p w14:paraId="1A49421E">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区综合行政执法局负责突发公共事件医疗卫生救援药品、医疗器械质量的监督管理。</w:t>
      </w:r>
    </w:p>
    <w:p w14:paraId="2E15B6B4">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区经济发展局协助做好医疗卫生救援信息网络的通畅保障工作。</w:t>
      </w:r>
    </w:p>
    <w:p w14:paraId="27E12083">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区社会事业局组织救援医疗队，组织群众开展现场自救和互救，做好相关工作。同时根据突发公共事件的具体情况，组织提供急需的人道主义援助。</w:t>
      </w:r>
    </w:p>
    <w:p w14:paraId="22806B2E">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武警部队根据工作需要组织有关力量，支持和配合突发公共事件医疗卫生救援工作。</w:t>
      </w:r>
    </w:p>
    <w:p w14:paraId="025EE135">
      <w:pPr>
        <w:spacing w:line="56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6  公众参与</w:t>
      </w:r>
    </w:p>
    <w:p w14:paraId="174BD0B7">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社会事业局要做好突发公共事件医疗救援知识普及工作，广播、报刊、互联网等媒体要扩大对社会公众的宣传教育，广泛开展群众性现场救护知识和技能培训普及工作，做好宣传资料的提供和师资培训工作；各部门、企事业单位、其他社会团体要加强对所属人员的宣传教育；各级各类学校要加强对学生的宣传教育。在广泛普及医疗卫生救援知识的基础上逐步组建以企事业单位安全员和卫生员为骨干的群众性救助网络，通过培训和演练提高其自救、互救能力。</w:t>
      </w:r>
    </w:p>
    <w:p w14:paraId="17D079CA">
      <w:pPr>
        <w:spacing w:line="56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7  奖惩</w:t>
      </w:r>
    </w:p>
    <w:p w14:paraId="7DEA087D">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突发公共事件医疗卫生救援工作实行责任制和责任追究制。区社会事业局对突发公共事件医疗卫生救援工作做出贡献的先进集体和个人要给予表扬奖励。对失职、渎职的有关责任人及相关部门，依据有关规定严肃追究过错责任，构成犯罪的，依法追究刑事责任。</w:t>
      </w:r>
    </w:p>
    <w:p w14:paraId="5E3FCABE">
      <w:pPr>
        <w:spacing w:line="56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8  附则</w:t>
      </w:r>
    </w:p>
    <w:p w14:paraId="49B392A7">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8.1  </w:t>
      </w:r>
      <w:r>
        <w:rPr>
          <w:rFonts w:ascii="Times New Roman" w:hAnsi="Times New Roman" w:eastAsia="楷体_GB2312"/>
          <w:color w:val="000000"/>
          <w:sz w:val="32"/>
          <w:szCs w:val="32"/>
        </w:rPr>
        <w:t>预案管理</w:t>
      </w:r>
    </w:p>
    <w:p w14:paraId="60E016C8">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本预案由区社会事业局会同区有关部门制定，并根据形势变化和实施中发现的问题及时进行修订完善，报区管委会批准后实施。</w:t>
      </w:r>
    </w:p>
    <w:p w14:paraId="2147E00D">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区有关部门根据本预案规定，制定本部门职责范围内的具体工作方案。</w:t>
      </w:r>
    </w:p>
    <w:p w14:paraId="1A32DCFA">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各街道办事处参照本预案并结合实际情况，组织制定本地区突发公共事件医疗卫生救援应急预案。</w:t>
      </w:r>
    </w:p>
    <w:p w14:paraId="18002901">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8.2  </w:t>
      </w:r>
      <w:r>
        <w:rPr>
          <w:rFonts w:ascii="Times New Roman" w:hAnsi="Times New Roman" w:eastAsia="楷体_GB2312"/>
          <w:color w:val="000000"/>
          <w:sz w:val="32"/>
          <w:szCs w:val="32"/>
        </w:rPr>
        <w:t>预案实施时间</w:t>
      </w:r>
    </w:p>
    <w:p w14:paraId="55C1E7AE">
      <w:pPr>
        <w:widowControl/>
        <w:spacing w:line="560" w:lineRule="exact"/>
        <w:ind w:firstLine="640" w:firstLineChars="20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本预案自印发之日起实施。</w:t>
      </w:r>
    </w:p>
    <w:p w14:paraId="1258C892">
      <w:pPr>
        <w:spacing w:line="56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 xml:space="preserve">9  附件 </w:t>
      </w:r>
    </w:p>
    <w:p w14:paraId="162B1432">
      <w:pPr>
        <w:spacing w:line="560" w:lineRule="exact"/>
        <w:ind w:firstLine="640" w:firstLineChars="200"/>
        <w:rPr>
          <w:rFonts w:ascii="Times New Roman" w:hAnsi="Times New Roman" w:eastAsia="黑体"/>
          <w:color w:val="000000"/>
          <w:sz w:val="32"/>
          <w:szCs w:val="32"/>
        </w:rPr>
      </w:pPr>
      <w:r>
        <w:rPr>
          <w:rFonts w:ascii="Times New Roman" w:hAnsi="Times New Roman" w:eastAsia="仿宋_GB2312"/>
          <w:bCs/>
          <w:sz w:val="32"/>
          <w:szCs w:val="32"/>
        </w:rPr>
        <w:t>突发公共事件医疗卫生救援应急组织体系示意图</w:t>
      </w:r>
    </w:p>
    <w:p w14:paraId="6F9B9CB2">
      <w:pPr>
        <w:widowControl/>
        <w:jc w:val="left"/>
        <w:rPr>
          <w:rFonts w:ascii="Times New Roman" w:hAnsi="Times New Roman" w:eastAsia="宋体"/>
          <w:kern w:val="0"/>
          <w:sz w:val="24"/>
          <w:szCs w:val="24"/>
        </w:rPr>
      </w:pPr>
    </w:p>
    <w:p w14:paraId="7134A9FE">
      <w:pPr>
        <w:widowControl/>
        <w:jc w:val="left"/>
        <w:rPr>
          <w:rFonts w:ascii="Times New Roman" w:hAnsi="Times New Roman" w:eastAsia="宋体"/>
          <w:kern w:val="0"/>
          <w:sz w:val="24"/>
          <w:szCs w:val="24"/>
        </w:rPr>
      </w:pPr>
    </w:p>
    <w:p w14:paraId="59288151">
      <w:pPr>
        <w:widowControl/>
        <w:jc w:val="left"/>
        <w:rPr>
          <w:rFonts w:ascii="Times New Roman" w:hAnsi="Times New Roman" w:eastAsia="宋体"/>
          <w:kern w:val="0"/>
          <w:sz w:val="24"/>
          <w:szCs w:val="24"/>
        </w:rPr>
      </w:pPr>
    </w:p>
    <w:p w14:paraId="0859BB54">
      <w:pPr>
        <w:rPr>
          <w:rFonts w:ascii="Times New Roman" w:hAnsi="Times New Roman"/>
        </w:rPr>
        <w:sectPr>
          <w:footerReference r:id="rId14" w:type="default"/>
          <w:footerReference r:id="rId15" w:type="even"/>
          <w:pgSz w:w="11906" w:h="16838"/>
          <w:pgMar w:top="2098" w:right="1474" w:bottom="1985" w:left="1588" w:header="851" w:footer="1588" w:gutter="0"/>
          <w:cols w:space="425" w:num="1"/>
          <w:docGrid w:linePitch="312" w:charSpace="0"/>
        </w:sectPr>
      </w:pPr>
    </w:p>
    <w:p w14:paraId="17144E57">
      <w:pPr>
        <w:widowControl/>
        <w:jc w:val="left"/>
        <w:rPr>
          <w:rFonts w:ascii="Times New Roman" w:hAnsi="Times New Roman" w:eastAsia="黑体"/>
        </w:rPr>
      </w:pPr>
      <w:r>
        <w:rPr>
          <w:rFonts w:ascii="Times New Roman" w:hAnsi="Times New Roman" w:eastAsia="黑体"/>
          <w:kern w:val="0"/>
          <w:sz w:val="32"/>
          <w:szCs w:val="32"/>
        </w:rPr>
        <w:t>附件</w:t>
      </w:r>
    </w:p>
    <w:p w14:paraId="130BA71E">
      <w:pPr>
        <w:widowControl/>
        <w:jc w:val="center"/>
        <w:rPr>
          <w:rFonts w:ascii="Times New Roman" w:hAnsi="Times New Roman" w:eastAsia="方正小标宋简体"/>
          <w:bCs/>
          <w:kern w:val="0"/>
          <w:sz w:val="44"/>
          <w:szCs w:val="44"/>
        </w:rPr>
      </w:pPr>
      <w:r>
        <w:rPr>
          <w:rFonts w:ascii="Times New Roman" w:hAnsi="Times New Roman" w:eastAsia="方正小标宋简体"/>
          <w:bCs/>
          <w:kern w:val="0"/>
          <w:sz w:val="44"/>
          <w:szCs w:val="44"/>
        </w:rPr>
        <w:t>突发公共事件医疗卫生救援应急组织体系示意图</w:t>
      </w:r>
    </w:p>
    <w:p w14:paraId="02167BA6">
      <w:pPr>
        <w:widowControl/>
        <w:jc w:val="center"/>
        <w:rPr>
          <w:rFonts w:ascii="Times New Roman" w:hAnsi="Times New Roman" w:eastAsia="方正小标宋简体"/>
          <w:kern w:val="0"/>
          <w:sz w:val="32"/>
          <w:szCs w:val="32"/>
        </w:rPr>
      </w:pPr>
      <w:r>
        <w:rPr>
          <w:rFonts w:ascii="Times New Roman" w:hAnsi="Times New Roman" w:eastAsia="宋体"/>
          <w:kern w:val="0"/>
          <w:sz w:val="24"/>
          <w:szCs w:val="24"/>
        </w:rPr>
        <w:drawing>
          <wp:anchor distT="0" distB="0" distL="114300" distR="114300" simplePos="0" relativeHeight="251659264" behindDoc="1" locked="0" layoutInCell="1" allowOverlap="1">
            <wp:simplePos x="0" y="0"/>
            <wp:positionH relativeFrom="column">
              <wp:posOffset>-51435</wp:posOffset>
            </wp:positionH>
            <wp:positionV relativeFrom="paragraph">
              <wp:posOffset>57785</wp:posOffset>
            </wp:positionV>
            <wp:extent cx="7943850" cy="4094480"/>
            <wp:effectExtent l="0" t="0" r="0" b="0"/>
            <wp:wrapNone/>
            <wp:docPr id="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1"/>
                    <pic:cNvPicPr>
                      <a:picLocks noChangeAspect="1"/>
                    </pic:cNvPicPr>
                  </pic:nvPicPr>
                  <pic:blipFill>
                    <a:blip r:embed="rId27" cstate="print"/>
                    <a:stretch>
                      <a:fillRect/>
                    </a:stretch>
                  </pic:blipFill>
                  <pic:spPr>
                    <a:xfrm>
                      <a:off x="0" y="0"/>
                      <a:ext cx="7943850" cy="4094480"/>
                    </a:xfrm>
                    <a:prstGeom prst="rect">
                      <a:avLst/>
                    </a:prstGeom>
                    <a:noFill/>
                    <a:ln>
                      <a:noFill/>
                    </a:ln>
                  </pic:spPr>
                </pic:pic>
              </a:graphicData>
            </a:graphic>
          </wp:anchor>
        </w:drawing>
      </w:r>
      <w:r>
        <w:rPr>
          <w:rFonts w:ascii="Times New Roman" w:hAnsi="Times New Roman" w:eastAsia="宋体"/>
          <w:kern w:val="0"/>
          <w:sz w:val="24"/>
          <w:szCs w:val="24"/>
        </w:rPr>
        <mc:AlternateContent>
          <mc:Choice Requires="wps">
            <w:drawing>
              <wp:anchor distT="45720" distB="45720" distL="114300" distR="114300" simplePos="0" relativeHeight="251688960" behindDoc="0" locked="0" layoutInCell="1" allowOverlap="1">
                <wp:simplePos x="0" y="0"/>
                <wp:positionH relativeFrom="column">
                  <wp:posOffset>-41910</wp:posOffset>
                </wp:positionH>
                <wp:positionV relativeFrom="paragraph">
                  <wp:posOffset>2047875</wp:posOffset>
                </wp:positionV>
                <wp:extent cx="1390650" cy="504825"/>
                <wp:effectExtent l="4445" t="5080" r="14605" b="4445"/>
                <wp:wrapSquare wrapText="bothSides"/>
                <wp:docPr id="552" name="文本框 552"/>
                <wp:cNvGraphicFramePr/>
                <a:graphic xmlns:a="http://schemas.openxmlformats.org/drawingml/2006/main">
                  <a:graphicData uri="http://schemas.microsoft.com/office/word/2010/wordprocessingShape">
                    <wps:wsp>
                      <wps:cNvSpPr txBox="1"/>
                      <wps:spPr>
                        <a:xfrm>
                          <a:off x="0" y="0"/>
                          <a:ext cx="1390650"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08453A4">
                            <w:pPr>
                              <w:widowControl/>
                              <w:ind w:left="360" w:hanging="360" w:hangingChars="200"/>
                              <w:jc w:val="left"/>
                              <w:rPr>
                                <w:rFonts w:ascii="宋体" w:hAnsi="宋体" w:eastAsia="宋体" w:cs="宋体"/>
                                <w:kern w:val="0"/>
                                <w:sz w:val="18"/>
                                <w:szCs w:val="18"/>
                              </w:rPr>
                            </w:pPr>
                            <w:r>
                              <w:rPr>
                                <w:rFonts w:hint="eastAsia" w:ascii="宋体" w:hAnsi="宋体" w:eastAsia="宋体" w:cs="宋体"/>
                                <w:kern w:val="0"/>
                                <w:sz w:val="18"/>
                                <w:szCs w:val="18"/>
                                <w:lang w:val="zh-CN"/>
                              </w:rPr>
                              <w:t>区级突发公共事件医疗卫生救援机构</w:t>
                            </w:r>
                          </w:p>
                        </w:txbxContent>
                      </wps:txbx>
                      <wps:bodyPr upright="1"/>
                    </wps:wsp>
                  </a:graphicData>
                </a:graphic>
              </wp:anchor>
            </w:drawing>
          </mc:Choice>
          <mc:Fallback>
            <w:pict>
              <v:shape id="_x0000_s1026" o:spid="_x0000_s1026" o:spt="202" type="#_x0000_t202" style="position:absolute;left:0pt;margin-left:-3.3pt;margin-top:161.25pt;height:39.75pt;width:109.5pt;mso-wrap-distance-bottom:3.6pt;mso-wrap-distance-left:9pt;mso-wrap-distance-right:9pt;mso-wrap-distance-top:3.6pt;z-index:251688960;mso-width-relative:page;mso-height-relative:page;" fillcolor="#FFFFFF" filled="t" stroked="t" coordsize="21600,21600" o:gfxdata="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aJv4DaAAAACgEAAA8AAAAA&#10;AAAAAQAgAAAAIgAAAGRycy9kb3ducmV2LnhtbFBLAQIUABQAAAAIAIdO4kCgoeN2EgIAAEgEAAAO&#10;AAAAAAAAAAEAIAAAACkBAABkcnMvZTJvRG9jLnhtbFBLBQYAAAAABgAGAFkBAACtBQAAAAA=&#10;">
                <v:fill on="t" focussize="0,0"/>
                <v:stroke color="#000000" joinstyle="miter"/>
                <v:imagedata o:title=""/>
                <o:lock v:ext="edit" aspectratio="f"/>
                <v:textbox>
                  <w:txbxContent>
                    <w:p w14:paraId="508453A4">
                      <w:pPr>
                        <w:widowControl/>
                        <w:ind w:left="360" w:hanging="360" w:hangingChars="200"/>
                        <w:jc w:val="left"/>
                        <w:rPr>
                          <w:rFonts w:ascii="宋体" w:hAnsi="宋体" w:eastAsia="宋体" w:cs="宋体"/>
                          <w:kern w:val="0"/>
                          <w:sz w:val="18"/>
                          <w:szCs w:val="18"/>
                        </w:rPr>
                      </w:pPr>
                      <w:r>
                        <w:rPr>
                          <w:rFonts w:hint="eastAsia" w:ascii="宋体" w:hAnsi="宋体" w:eastAsia="宋体" w:cs="宋体"/>
                          <w:kern w:val="0"/>
                          <w:sz w:val="18"/>
                          <w:szCs w:val="18"/>
                          <w:lang w:val="zh-CN"/>
                        </w:rPr>
                        <w:t>区级突发公共事件医疗卫生救援机构</w:t>
                      </w:r>
                    </w:p>
                  </w:txbxContent>
                </v:textbox>
                <w10:wrap type="square"/>
              </v:shape>
            </w:pict>
          </mc:Fallback>
        </mc:AlternateContent>
      </w:r>
      <w:r>
        <w:rPr>
          <w:rFonts w:ascii="Times New Roman" w:hAnsi="Times New Roman" w:eastAsia="宋体"/>
          <w:kern w:val="0"/>
          <w:sz w:val="24"/>
          <w:szCs w:val="24"/>
        </w:rPr>
        <mc:AlternateContent>
          <mc:Choice Requires="wps">
            <w:drawing>
              <wp:anchor distT="45720" distB="45720" distL="114300" distR="114300" simplePos="0" relativeHeight="251689984" behindDoc="0" locked="0" layoutInCell="1" allowOverlap="1">
                <wp:simplePos x="0" y="0"/>
                <wp:positionH relativeFrom="column">
                  <wp:posOffset>3158490</wp:posOffset>
                </wp:positionH>
                <wp:positionV relativeFrom="paragraph">
                  <wp:posOffset>1487805</wp:posOffset>
                </wp:positionV>
                <wp:extent cx="1295400" cy="502920"/>
                <wp:effectExtent l="4445" t="4445" r="14605" b="6985"/>
                <wp:wrapSquare wrapText="bothSides"/>
                <wp:docPr id="549" name="文本框 549"/>
                <wp:cNvGraphicFramePr/>
                <a:graphic xmlns:a="http://schemas.openxmlformats.org/drawingml/2006/main">
                  <a:graphicData uri="http://schemas.microsoft.com/office/word/2010/wordprocessingShape">
                    <wps:wsp>
                      <wps:cNvSpPr txBox="1"/>
                      <wps:spPr>
                        <a:xfrm>
                          <a:off x="0" y="0"/>
                          <a:ext cx="1295400" cy="5029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EFCC23">
                            <w:pPr>
                              <w:widowControl/>
                              <w:ind w:firstLine="180" w:firstLineChars="100"/>
                              <w:jc w:val="left"/>
                              <w:rPr>
                                <w:rFonts w:ascii="宋体" w:hAnsi="宋体" w:eastAsia="宋体" w:cs="宋体"/>
                                <w:kern w:val="0"/>
                                <w:sz w:val="18"/>
                                <w:szCs w:val="18"/>
                              </w:rPr>
                            </w:pPr>
                            <w:r>
                              <w:rPr>
                                <w:rFonts w:hint="eastAsia" w:ascii="宋体" w:hAnsi="宋体" w:eastAsia="宋体" w:cs="宋体"/>
                                <w:kern w:val="0"/>
                                <w:sz w:val="18"/>
                                <w:szCs w:val="18"/>
                              </w:rPr>
                              <w:t>区突发公共事件</w:t>
                            </w:r>
                          </w:p>
                          <w:p w14:paraId="4D838F01">
                            <w:pPr>
                              <w:widowControl/>
                              <w:ind w:firstLine="180" w:firstLineChars="100"/>
                              <w:jc w:val="left"/>
                              <w:rPr>
                                <w:rFonts w:ascii="宋体" w:hAnsi="宋体" w:eastAsia="宋体" w:cs="宋体"/>
                                <w:kern w:val="0"/>
                                <w:sz w:val="18"/>
                                <w:szCs w:val="18"/>
                              </w:rPr>
                            </w:pPr>
                            <w:r>
                              <w:rPr>
                                <w:rFonts w:hint="eastAsia" w:ascii="宋体" w:hAnsi="宋体" w:eastAsia="宋体" w:cs="宋体"/>
                                <w:kern w:val="0"/>
                                <w:sz w:val="18"/>
                                <w:szCs w:val="18"/>
                              </w:rPr>
                              <w:t>应急指挥机构</w:t>
                            </w:r>
                          </w:p>
                        </w:txbxContent>
                      </wps:txbx>
                      <wps:bodyPr upright="1"/>
                    </wps:wsp>
                  </a:graphicData>
                </a:graphic>
              </wp:anchor>
            </w:drawing>
          </mc:Choice>
          <mc:Fallback>
            <w:pict>
              <v:shape id="_x0000_s1026" o:spid="_x0000_s1026" o:spt="202" type="#_x0000_t202" style="position:absolute;left:0pt;margin-left:248.7pt;margin-top:117.15pt;height:39.6pt;width:102pt;mso-wrap-distance-bottom:3.6pt;mso-wrap-distance-left:9pt;mso-wrap-distance-right:9pt;mso-wrap-distance-top:3.6pt;z-index:251689984;mso-width-relative:page;mso-height-relative:page;" fillcolor="#FFFFFF" filled="t" stroked="t" coordsize="21600,21600" o:gfxdata="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WOEltoAAAALAQAADwAA&#10;AAAAAAABACAAAAAiAAAAZHJzL2Rvd25yZXYueG1sUEsBAhQAFAAAAAgAh07iQAdIhpsUAgAASAQA&#10;AA4AAAAAAAAAAQAgAAAAKQEAAGRycy9lMm9Eb2MueG1sUEsFBgAAAAAGAAYAWQEAAK8FAAAAAA==&#10;">
                <v:fill on="t" focussize="0,0"/>
                <v:stroke color="#000000" joinstyle="miter"/>
                <v:imagedata o:title=""/>
                <o:lock v:ext="edit" aspectratio="f"/>
                <v:textbox>
                  <w:txbxContent>
                    <w:p w14:paraId="11EFCC23">
                      <w:pPr>
                        <w:widowControl/>
                        <w:ind w:firstLine="180" w:firstLineChars="100"/>
                        <w:jc w:val="left"/>
                        <w:rPr>
                          <w:rFonts w:ascii="宋体" w:hAnsi="宋体" w:eastAsia="宋体" w:cs="宋体"/>
                          <w:kern w:val="0"/>
                          <w:sz w:val="18"/>
                          <w:szCs w:val="18"/>
                        </w:rPr>
                      </w:pPr>
                      <w:r>
                        <w:rPr>
                          <w:rFonts w:hint="eastAsia" w:ascii="宋体" w:hAnsi="宋体" w:eastAsia="宋体" w:cs="宋体"/>
                          <w:kern w:val="0"/>
                          <w:sz w:val="18"/>
                          <w:szCs w:val="18"/>
                        </w:rPr>
                        <w:t>区突发公共事件</w:t>
                      </w:r>
                    </w:p>
                    <w:p w14:paraId="4D838F01">
                      <w:pPr>
                        <w:widowControl/>
                        <w:ind w:firstLine="180" w:firstLineChars="100"/>
                        <w:jc w:val="left"/>
                        <w:rPr>
                          <w:rFonts w:ascii="宋体" w:hAnsi="宋体" w:eastAsia="宋体" w:cs="宋体"/>
                          <w:kern w:val="0"/>
                          <w:sz w:val="18"/>
                          <w:szCs w:val="18"/>
                        </w:rPr>
                      </w:pPr>
                      <w:r>
                        <w:rPr>
                          <w:rFonts w:hint="eastAsia" w:ascii="宋体" w:hAnsi="宋体" w:eastAsia="宋体" w:cs="宋体"/>
                          <w:kern w:val="0"/>
                          <w:sz w:val="18"/>
                          <w:szCs w:val="18"/>
                        </w:rPr>
                        <w:t>应急指挥机构</w:t>
                      </w:r>
                    </w:p>
                  </w:txbxContent>
                </v:textbox>
                <w10:wrap type="square"/>
              </v:shape>
            </w:pict>
          </mc:Fallback>
        </mc:AlternateContent>
      </w:r>
      <w:r>
        <w:rPr>
          <w:rFonts w:ascii="Times New Roman" w:hAnsi="Times New Roman" w:eastAsia="宋体"/>
          <w:kern w:val="0"/>
          <w:sz w:val="24"/>
          <w:szCs w:val="24"/>
        </w:rPr>
        <mc:AlternateContent>
          <mc:Choice Requires="wps">
            <w:drawing>
              <wp:anchor distT="45720" distB="45720" distL="114300" distR="114300" simplePos="0" relativeHeight="251691008" behindDoc="0" locked="0" layoutInCell="1" allowOverlap="1">
                <wp:simplePos x="0" y="0"/>
                <wp:positionH relativeFrom="column">
                  <wp:posOffset>1760855</wp:posOffset>
                </wp:positionH>
                <wp:positionV relativeFrom="paragraph">
                  <wp:posOffset>2120265</wp:posOffset>
                </wp:positionV>
                <wp:extent cx="1472565" cy="310515"/>
                <wp:effectExtent l="4445" t="4445" r="8890" b="8890"/>
                <wp:wrapSquare wrapText="bothSides"/>
                <wp:docPr id="551" name="文本框 551"/>
                <wp:cNvGraphicFramePr/>
                <a:graphic xmlns:a="http://schemas.openxmlformats.org/drawingml/2006/main">
                  <a:graphicData uri="http://schemas.microsoft.com/office/word/2010/wordprocessingShape">
                    <wps:wsp>
                      <wps:cNvSpPr txBox="1"/>
                      <wps:spPr>
                        <a:xfrm>
                          <a:off x="0" y="0"/>
                          <a:ext cx="1472565" cy="310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3765210">
                            <w:pPr>
                              <w:widowControl/>
                              <w:jc w:val="left"/>
                              <w:rPr>
                                <w:rFonts w:ascii="宋体" w:hAnsi="宋体" w:eastAsia="宋体" w:cs="宋体"/>
                                <w:kern w:val="0"/>
                                <w:sz w:val="18"/>
                                <w:szCs w:val="18"/>
                              </w:rPr>
                            </w:pPr>
                            <w:r>
                              <w:rPr>
                                <w:rFonts w:hint="eastAsia" w:ascii="宋体" w:hAnsi="宋体" w:eastAsia="宋体" w:cs="宋体"/>
                                <w:kern w:val="0"/>
                                <w:sz w:val="18"/>
                                <w:szCs w:val="18"/>
                              </w:rPr>
                              <w:t>区社会事业局</w:t>
                            </w:r>
                          </w:p>
                        </w:txbxContent>
                      </wps:txbx>
                      <wps:bodyPr upright="1"/>
                    </wps:wsp>
                  </a:graphicData>
                </a:graphic>
              </wp:anchor>
            </w:drawing>
          </mc:Choice>
          <mc:Fallback>
            <w:pict>
              <v:shape id="_x0000_s1026" o:spid="_x0000_s1026" o:spt="202" type="#_x0000_t202" style="position:absolute;left:0pt;margin-left:138.65pt;margin-top:166.95pt;height:24.45pt;width:115.95pt;mso-wrap-distance-bottom:3.6pt;mso-wrap-distance-left:9pt;mso-wrap-distance-right:9pt;mso-wrap-distance-top:3.6pt;z-index:251691008;mso-width-relative:page;mso-height-relative:page;" fillcolor="#FFFFFF" filled="t" stroked="t" coordsize="21600,21600" o:gfxdata="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2SAf3aAAAACwEAAA8AAAAA&#10;AAAAAQAgAAAAIgAAAGRycy9kb3ducmV2LnhtbFBLAQIUABQAAAAIAIdO4kDl754EEgIAAEgEAAAO&#10;AAAAAAAAAAEAIAAAACkBAABkcnMvZTJvRG9jLnhtbFBLBQYAAAAABgAGAFkBAACtBQAAAAA=&#10;">
                <v:fill on="t" focussize="0,0"/>
                <v:stroke color="#000000" joinstyle="miter"/>
                <v:imagedata o:title=""/>
                <o:lock v:ext="edit" aspectratio="f"/>
                <v:textbox>
                  <w:txbxContent>
                    <w:p w14:paraId="63765210">
                      <w:pPr>
                        <w:widowControl/>
                        <w:jc w:val="left"/>
                        <w:rPr>
                          <w:rFonts w:ascii="宋体" w:hAnsi="宋体" w:eastAsia="宋体" w:cs="宋体"/>
                          <w:kern w:val="0"/>
                          <w:sz w:val="18"/>
                          <w:szCs w:val="18"/>
                        </w:rPr>
                      </w:pPr>
                      <w:r>
                        <w:rPr>
                          <w:rFonts w:hint="eastAsia" w:ascii="宋体" w:hAnsi="宋体" w:eastAsia="宋体" w:cs="宋体"/>
                          <w:kern w:val="0"/>
                          <w:sz w:val="18"/>
                          <w:szCs w:val="18"/>
                        </w:rPr>
                        <w:t>区社会事业局</w:t>
                      </w:r>
                    </w:p>
                  </w:txbxContent>
                </v:textbox>
                <w10:wrap type="square"/>
              </v:shape>
            </w:pict>
          </mc:Fallback>
        </mc:AlternateContent>
      </w:r>
      <w:r>
        <w:rPr>
          <w:rFonts w:ascii="Times New Roman" w:hAnsi="Times New Roman" w:eastAsia="宋体"/>
          <w:kern w:val="0"/>
          <w:sz w:val="24"/>
          <w:szCs w:val="24"/>
        </w:rPr>
        <mc:AlternateContent>
          <mc:Choice Requires="wps">
            <w:drawing>
              <wp:anchor distT="45720" distB="45720" distL="114300" distR="114300" simplePos="0" relativeHeight="251692032" behindDoc="0" locked="0" layoutInCell="1" allowOverlap="1">
                <wp:simplePos x="0" y="0"/>
                <wp:positionH relativeFrom="column">
                  <wp:posOffset>4665980</wp:posOffset>
                </wp:positionH>
                <wp:positionV relativeFrom="paragraph">
                  <wp:posOffset>2118360</wp:posOffset>
                </wp:positionV>
                <wp:extent cx="1178560" cy="312420"/>
                <wp:effectExtent l="4445" t="5080" r="17145" b="6350"/>
                <wp:wrapSquare wrapText="bothSides"/>
                <wp:docPr id="553" name="文本框 553"/>
                <wp:cNvGraphicFramePr/>
                <a:graphic xmlns:a="http://schemas.openxmlformats.org/drawingml/2006/main">
                  <a:graphicData uri="http://schemas.microsoft.com/office/word/2010/wordprocessingShape">
                    <wps:wsp>
                      <wps:cNvSpPr txBox="1"/>
                      <wps:spPr>
                        <a:xfrm>
                          <a:off x="0" y="0"/>
                          <a:ext cx="1178560" cy="3124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862A93">
                            <w:pPr>
                              <w:widowControl/>
                              <w:ind w:firstLine="180" w:firstLineChars="100"/>
                              <w:jc w:val="left"/>
                              <w:rPr>
                                <w:rFonts w:ascii="宋体" w:hAnsi="宋体" w:eastAsia="宋体" w:cs="宋体"/>
                                <w:kern w:val="0"/>
                                <w:sz w:val="18"/>
                                <w:szCs w:val="18"/>
                              </w:rPr>
                            </w:pPr>
                            <w:r>
                              <w:rPr>
                                <w:rFonts w:hint="eastAsia" w:ascii="宋体" w:hAnsi="宋体" w:eastAsia="宋体" w:cs="宋体"/>
                                <w:kern w:val="0"/>
                                <w:sz w:val="18"/>
                                <w:szCs w:val="18"/>
                              </w:rPr>
                              <w:t>区有关部门</w:t>
                            </w:r>
                          </w:p>
                        </w:txbxContent>
                      </wps:txbx>
                      <wps:bodyPr upright="1"/>
                    </wps:wsp>
                  </a:graphicData>
                </a:graphic>
              </wp:anchor>
            </w:drawing>
          </mc:Choice>
          <mc:Fallback>
            <w:pict>
              <v:shape id="_x0000_s1026" o:spid="_x0000_s1026" o:spt="202" type="#_x0000_t202" style="position:absolute;left:0pt;margin-left:367.4pt;margin-top:166.8pt;height:24.6pt;width:92.8pt;mso-wrap-distance-bottom:3.6pt;mso-wrap-distance-left:9pt;mso-wrap-distance-right:9pt;mso-wrap-distance-top:3.6pt;z-index:251692032;mso-width-relative:page;mso-height-relative:page;" fillcolor="#FFFFFF" filled="t" stroked="t" coordsize="21600,21600" o:gfxdata="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LICz2gAAAAsBAAAP&#10;AAAAAAAAAAEAIAAAACIAAABkcnMvZG93bnJldi54bWxQSwECFAAUAAAACACHTuJAc8P7GhYCAABI&#10;BAAADgAAAAAAAAABACAAAAApAQAAZHJzL2Uyb0RvYy54bWxQSwUGAAAAAAYABgBZAQAAsQUAAAAA&#10;">
                <v:fill on="t" focussize="0,0"/>
                <v:stroke color="#000000" joinstyle="miter"/>
                <v:imagedata o:title=""/>
                <o:lock v:ext="edit" aspectratio="f"/>
                <v:textbox>
                  <w:txbxContent>
                    <w:p w14:paraId="3C862A93">
                      <w:pPr>
                        <w:widowControl/>
                        <w:ind w:firstLine="180" w:firstLineChars="100"/>
                        <w:jc w:val="left"/>
                        <w:rPr>
                          <w:rFonts w:ascii="宋体" w:hAnsi="宋体" w:eastAsia="宋体" w:cs="宋体"/>
                          <w:kern w:val="0"/>
                          <w:sz w:val="18"/>
                          <w:szCs w:val="18"/>
                        </w:rPr>
                      </w:pPr>
                      <w:r>
                        <w:rPr>
                          <w:rFonts w:hint="eastAsia" w:ascii="宋体" w:hAnsi="宋体" w:eastAsia="宋体" w:cs="宋体"/>
                          <w:kern w:val="0"/>
                          <w:sz w:val="18"/>
                          <w:szCs w:val="18"/>
                        </w:rPr>
                        <w:t>区有关部门</w:t>
                      </w:r>
                    </w:p>
                  </w:txbxContent>
                </v:textbox>
                <w10:wrap type="square"/>
              </v:shape>
            </w:pict>
          </mc:Fallback>
        </mc:AlternateContent>
      </w:r>
    </w:p>
    <w:p w14:paraId="129621A4">
      <w:pPr>
        <w:rPr>
          <w:rFonts w:ascii="Times New Roman" w:hAnsi="Times New Roman"/>
        </w:rPr>
      </w:pPr>
    </w:p>
    <w:p w14:paraId="4E6C4856">
      <w:pPr>
        <w:rPr>
          <w:rFonts w:ascii="Times New Roman" w:hAnsi="Times New Roman"/>
        </w:rPr>
      </w:pPr>
    </w:p>
    <w:p w14:paraId="3F3E4B2E">
      <w:pPr>
        <w:rPr>
          <w:rFonts w:ascii="Times New Roman" w:hAnsi="Times New Roman"/>
        </w:rPr>
      </w:pPr>
    </w:p>
    <w:p w14:paraId="39AB563B">
      <w:pPr>
        <w:rPr>
          <w:rFonts w:ascii="Times New Roman" w:hAnsi="Times New Roman"/>
        </w:rPr>
      </w:pPr>
    </w:p>
    <w:p w14:paraId="2D9C9CAB">
      <w:pPr>
        <w:rPr>
          <w:rFonts w:ascii="Times New Roman" w:hAnsi="Times New Roman"/>
        </w:rPr>
      </w:pPr>
    </w:p>
    <w:p w14:paraId="387F3FEF">
      <w:pPr>
        <w:rPr>
          <w:rFonts w:ascii="Times New Roman" w:hAnsi="Times New Roman"/>
        </w:rPr>
      </w:pPr>
    </w:p>
    <w:p w14:paraId="7E51B35B">
      <w:pPr>
        <w:rPr>
          <w:rFonts w:ascii="Times New Roman" w:hAnsi="Times New Roman"/>
        </w:rPr>
      </w:pPr>
    </w:p>
    <w:p w14:paraId="1B2A69D7">
      <w:pPr>
        <w:rPr>
          <w:rFonts w:ascii="Times New Roman" w:hAnsi="Times New Roman"/>
        </w:rPr>
      </w:pPr>
    </w:p>
    <w:p w14:paraId="4AEA5389">
      <w:pPr>
        <w:rPr>
          <w:rFonts w:ascii="Times New Roman" w:hAnsi="Times New Roman"/>
        </w:rPr>
      </w:pPr>
    </w:p>
    <w:p w14:paraId="5ADD0AEB">
      <w:pPr>
        <w:rPr>
          <w:rFonts w:ascii="Times New Roman" w:hAnsi="Times New Roman"/>
        </w:rPr>
      </w:pPr>
    </w:p>
    <w:p w14:paraId="33E29B6D">
      <w:pPr>
        <w:rPr>
          <w:rFonts w:ascii="Times New Roman" w:hAnsi="Times New Roman"/>
        </w:rPr>
      </w:pPr>
    </w:p>
    <w:p w14:paraId="5F7D13B6">
      <w:pPr>
        <w:rPr>
          <w:rFonts w:ascii="Times New Roman" w:hAnsi="Times New Roman"/>
        </w:rPr>
      </w:pPr>
    </w:p>
    <w:p w14:paraId="67690278">
      <w:pPr>
        <w:rPr>
          <w:rFonts w:ascii="Times New Roman" w:hAnsi="Times New Roman"/>
        </w:rPr>
      </w:pPr>
    </w:p>
    <w:p w14:paraId="1200908F">
      <w:pPr>
        <w:rPr>
          <w:rFonts w:ascii="Times New Roman" w:hAnsi="Times New Roman"/>
        </w:rPr>
      </w:pPr>
    </w:p>
    <w:p w14:paraId="508A7367">
      <w:pPr>
        <w:rPr>
          <w:rFonts w:ascii="Times New Roman" w:hAnsi="Times New Roman"/>
        </w:rPr>
      </w:pPr>
    </w:p>
    <w:p w14:paraId="61ED1746">
      <w:pPr>
        <w:rPr>
          <w:rFonts w:ascii="Times New Roman" w:hAnsi="Times New Roman"/>
        </w:rPr>
      </w:pPr>
    </w:p>
    <w:p w14:paraId="73A57488">
      <w:pPr>
        <w:rPr>
          <w:rFonts w:ascii="Times New Roman" w:hAnsi="Times New Roman"/>
        </w:rPr>
      </w:pPr>
    </w:p>
    <w:p w14:paraId="27742F24">
      <w:pPr>
        <w:rPr>
          <w:rFonts w:ascii="Times New Roman" w:hAnsi="Times New Roman"/>
        </w:rPr>
      </w:pPr>
    </w:p>
    <w:p w14:paraId="55BA6BB9">
      <w:pPr>
        <w:rPr>
          <w:rFonts w:ascii="Times New Roman" w:hAnsi="Times New Roman"/>
        </w:rPr>
      </w:pPr>
    </w:p>
    <w:p w14:paraId="0BA0485A">
      <w:pPr>
        <w:rPr>
          <w:rFonts w:ascii="Times New Roman" w:hAnsi="Times New Roman"/>
        </w:rPr>
      </w:pPr>
    </w:p>
    <w:p w14:paraId="3DD83CAC">
      <w:pPr>
        <w:rPr>
          <w:rFonts w:ascii="Times New Roman" w:hAnsi="Times New Roman"/>
        </w:rPr>
      </w:pPr>
    </w:p>
    <w:p w14:paraId="3849AC79">
      <w:pPr>
        <w:rPr>
          <w:rFonts w:ascii="Times New Roman" w:hAnsi="Times New Roman"/>
        </w:rPr>
      </w:pPr>
    </w:p>
    <w:p w14:paraId="799E91D9">
      <w:pPr>
        <w:rPr>
          <w:rFonts w:ascii="Times New Roman" w:hAnsi="Times New Roman"/>
        </w:rPr>
      </w:pPr>
    </w:p>
    <w:p w14:paraId="763F4529">
      <w:pPr>
        <w:rPr>
          <w:rFonts w:ascii="Times New Roman" w:hAnsi="Times New Roman"/>
        </w:rPr>
      </w:pPr>
    </w:p>
    <w:p w14:paraId="61BF16C2">
      <w:pPr>
        <w:rPr>
          <w:rFonts w:ascii="Times New Roman" w:hAnsi="Times New Roman"/>
        </w:rPr>
      </w:pPr>
    </w:p>
    <w:p w14:paraId="0BE34723">
      <w:pPr>
        <w:rPr>
          <w:rFonts w:ascii="Times New Roman" w:hAnsi="Times New Roman"/>
        </w:rPr>
      </w:pPr>
    </w:p>
    <w:p w14:paraId="2D69005F">
      <w:pPr>
        <w:rPr>
          <w:rFonts w:ascii="Times New Roman" w:hAnsi="Times New Roman"/>
        </w:rPr>
      </w:pPr>
    </w:p>
    <w:p w14:paraId="6634C072">
      <w:pPr>
        <w:rPr>
          <w:rFonts w:ascii="Times New Roman" w:hAnsi="Times New Roman"/>
        </w:rPr>
        <w:sectPr>
          <w:pgSz w:w="16838" w:h="11906" w:orient="landscape"/>
          <w:pgMar w:top="1588" w:right="2098" w:bottom="1474" w:left="1985" w:header="851" w:footer="1588" w:gutter="0"/>
          <w:pgNumType w:fmt="numberInDash"/>
          <w:cols w:space="0" w:num="1"/>
          <w:docGrid w:linePitch="327" w:charSpace="0"/>
        </w:sectPr>
      </w:pPr>
    </w:p>
    <w:p w14:paraId="55299094">
      <w:pPr>
        <w:spacing w:line="600" w:lineRule="exact"/>
        <w:jc w:val="center"/>
        <w:rPr>
          <w:rFonts w:ascii="Times New Roman" w:hAnsi="Times New Roman" w:eastAsia="方正小标宋简体"/>
          <w:sz w:val="44"/>
          <w:szCs w:val="44"/>
        </w:rPr>
      </w:pPr>
      <w:r>
        <w:rPr>
          <w:rFonts w:ascii="Times New Roman" w:hAnsi="Times New Roman" w:eastAsia="方正小标宋简体"/>
          <w:sz w:val="44"/>
          <w:szCs w:val="44"/>
        </w:rPr>
        <w:t>连云港经济技术开发区突发公共卫生事件</w:t>
      </w:r>
    </w:p>
    <w:p w14:paraId="37BE0055">
      <w:pPr>
        <w:spacing w:line="600" w:lineRule="exact"/>
        <w:jc w:val="center"/>
        <w:rPr>
          <w:rFonts w:ascii="Times New Roman" w:hAnsi="Times New Roman" w:eastAsia="方正小标宋简体"/>
          <w:sz w:val="44"/>
          <w:szCs w:val="44"/>
        </w:rPr>
      </w:pPr>
      <w:r>
        <w:rPr>
          <w:rFonts w:ascii="Times New Roman" w:hAnsi="Times New Roman" w:eastAsia="方正小标宋简体"/>
          <w:sz w:val="44"/>
          <w:szCs w:val="44"/>
        </w:rPr>
        <w:t>应急预案</w:t>
      </w:r>
    </w:p>
    <w:p w14:paraId="36F2DE20">
      <w:pPr>
        <w:spacing w:line="560" w:lineRule="exact"/>
        <w:ind w:firstLine="640" w:firstLineChars="200"/>
        <w:jc w:val="center"/>
        <w:rPr>
          <w:rFonts w:ascii="Times New Roman" w:hAnsi="Times New Roman" w:eastAsia="黑体"/>
          <w:sz w:val="32"/>
          <w:szCs w:val="32"/>
        </w:rPr>
      </w:pPr>
    </w:p>
    <w:p w14:paraId="09D78DC6">
      <w:pPr>
        <w:spacing w:line="560" w:lineRule="exact"/>
        <w:ind w:firstLine="640" w:firstLineChars="200"/>
        <w:jc w:val="center"/>
        <w:rPr>
          <w:rFonts w:ascii="Times New Roman" w:hAnsi="Times New Roman" w:eastAsia="黑体"/>
          <w:sz w:val="32"/>
          <w:szCs w:val="32"/>
        </w:rPr>
      </w:pPr>
      <w:r>
        <w:rPr>
          <w:rFonts w:ascii="Times New Roman" w:hAnsi="Times New Roman" w:eastAsia="黑体"/>
          <w:sz w:val="32"/>
          <w:szCs w:val="32"/>
        </w:rPr>
        <w:t>目  录</w:t>
      </w:r>
    </w:p>
    <w:p w14:paraId="6CFFED0D">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1  总则</w:t>
      </w:r>
    </w:p>
    <w:p w14:paraId="250801C0">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1.1编制目的</w:t>
      </w:r>
    </w:p>
    <w:p w14:paraId="15E9BB0B">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1.2编制依据</w:t>
      </w:r>
    </w:p>
    <w:p w14:paraId="612CF949">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1.3适用范围</w:t>
      </w:r>
    </w:p>
    <w:p w14:paraId="368A4007">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1.4工作原则</w:t>
      </w:r>
    </w:p>
    <w:p w14:paraId="237586F2">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2  事件分级</w:t>
      </w:r>
    </w:p>
    <w:p w14:paraId="5F68BB44">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2.1特别重大突发公共卫生事件（I级）</w:t>
      </w:r>
    </w:p>
    <w:p w14:paraId="5F68123F">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2.2重大突发公共卫生事件（</w:t>
      </w:r>
      <w:r>
        <w:rPr>
          <w:rFonts w:hint="eastAsia" w:ascii="宋体" w:hAnsi="宋体" w:eastAsia="宋体" w:cs="宋体"/>
          <w:sz w:val="32"/>
          <w:szCs w:val="32"/>
        </w:rPr>
        <w:t>Ⅱ</w:t>
      </w:r>
      <w:r>
        <w:rPr>
          <w:rFonts w:ascii="Times New Roman" w:hAnsi="Times New Roman" w:eastAsia="仿宋_GB2312"/>
          <w:sz w:val="32"/>
          <w:szCs w:val="32"/>
        </w:rPr>
        <w:t>级）</w:t>
      </w:r>
    </w:p>
    <w:p w14:paraId="5867A41D">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2.3较大突发公共卫生事件（</w:t>
      </w:r>
      <w:r>
        <w:rPr>
          <w:rFonts w:hint="eastAsia" w:ascii="宋体" w:hAnsi="宋体" w:eastAsia="宋体" w:cs="宋体"/>
          <w:sz w:val="32"/>
          <w:szCs w:val="32"/>
        </w:rPr>
        <w:t>Ⅲ</w:t>
      </w:r>
      <w:r>
        <w:rPr>
          <w:rFonts w:ascii="Times New Roman" w:hAnsi="Times New Roman" w:eastAsia="仿宋_GB2312"/>
          <w:sz w:val="32"/>
          <w:szCs w:val="32"/>
        </w:rPr>
        <w:t>级）</w:t>
      </w:r>
    </w:p>
    <w:p w14:paraId="351E07E3">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2.4一般突发公共卫生事件（IV级）</w:t>
      </w:r>
    </w:p>
    <w:p w14:paraId="5B2EBB7C">
      <w:pPr>
        <w:spacing w:line="560" w:lineRule="exact"/>
        <w:ind w:firstLine="640" w:firstLineChars="200"/>
        <w:rPr>
          <w:rFonts w:ascii="Times New Roman" w:hAnsi="Times New Roman" w:eastAsia="仿宋_GB2312"/>
          <w:sz w:val="32"/>
          <w:szCs w:val="32"/>
        </w:rPr>
      </w:pPr>
      <w:r>
        <w:rPr>
          <w:rFonts w:ascii="Times New Roman" w:hAnsi="Times New Roman" w:eastAsia="黑体"/>
          <w:sz w:val="32"/>
          <w:szCs w:val="32"/>
        </w:rPr>
        <w:t>3  组织体系</w:t>
      </w:r>
    </w:p>
    <w:p w14:paraId="756E4420">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3.1应急指挥机构</w:t>
      </w:r>
    </w:p>
    <w:p w14:paraId="37A5CF53">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3.2日常办事机构</w:t>
      </w:r>
    </w:p>
    <w:p w14:paraId="4C6B280E">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3.3专家咨询委员会</w:t>
      </w:r>
    </w:p>
    <w:p w14:paraId="5E539496">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3.4现场指挥部</w:t>
      </w:r>
    </w:p>
    <w:p w14:paraId="1E28FE82">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3.5专业技术机构</w:t>
      </w:r>
    </w:p>
    <w:p w14:paraId="64CF53C0">
      <w:pPr>
        <w:spacing w:line="560" w:lineRule="exact"/>
        <w:ind w:firstLine="640" w:firstLineChars="200"/>
        <w:rPr>
          <w:rFonts w:ascii="Times New Roman" w:hAnsi="Times New Roman" w:eastAsia="仿宋_GB2312"/>
          <w:sz w:val="32"/>
          <w:szCs w:val="32"/>
        </w:rPr>
      </w:pPr>
      <w:r>
        <w:rPr>
          <w:rFonts w:ascii="Times New Roman" w:hAnsi="Times New Roman" w:eastAsia="黑体"/>
          <w:sz w:val="32"/>
          <w:szCs w:val="32"/>
        </w:rPr>
        <w:t>4  监测、报告与预警</w:t>
      </w:r>
    </w:p>
    <w:p w14:paraId="28E7C8E2">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4.1监测</w:t>
      </w:r>
    </w:p>
    <w:p w14:paraId="00AB4D16">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4.2报告</w:t>
      </w:r>
    </w:p>
    <w:p w14:paraId="44410429">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4.3预警</w:t>
      </w:r>
    </w:p>
    <w:p w14:paraId="0C5831D2">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5  应急响应</w:t>
      </w:r>
    </w:p>
    <w:p w14:paraId="16314B6C">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5.1应急响应原则</w:t>
      </w:r>
    </w:p>
    <w:p w14:paraId="56182FDE">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5.2应急响应措施</w:t>
      </w:r>
    </w:p>
    <w:p w14:paraId="2B1D56D5">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5.3分级响应</w:t>
      </w:r>
    </w:p>
    <w:p w14:paraId="70DDCF20">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5.4应急结束</w:t>
      </w:r>
    </w:p>
    <w:p w14:paraId="0CEC1411">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6  后期处理</w:t>
      </w:r>
    </w:p>
    <w:p w14:paraId="2144B26C">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6.1善后处置</w:t>
      </w:r>
    </w:p>
    <w:p w14:paraId="1E25F717">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6.2社会救助</w:t>
      </w:r>
    </w:p>
    <w:p w14:paraId="797F479C">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6.3后期评估</w:t>
      </w:r>
    </w:p>
    <w:p w14:paraId="179658C9">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6.4抚恤、补助与补偿</w:t>
      </w:r>
    </w:p>
    <w:p w14:paraId="17DE651B">
      <w:pPr>
        <w:spacing w:line="560" w:lineRule="exact"/>
        <w:ind w:firstLine="640" w:firstLineChars="200"/>
        <w:rPr>
          <w:rFonts w:ascii="Times New Roman" w:hAnsi="Times New Roman" w:eastAsia="仿宋_GB2312"/>
          <w:sz w:val="32"/>
          <w:szCs w:val="32"/>
        </w:rPr>
      </w:pPr>
      <w:r>
        <w:rPr>
          <w:rFonts w:ascii="Times New Roman" w:hAnsi="Times New Roman" w:eastAsia="黑体"/>
          <w:sz w:val="32"/>
          <w:szCs w:val="32"/>
        </w:rPr>
        <w:t>7  保障措施</w:t>
      </w:r>
    </w:p>
    <w:p w14:paraId="4FC8775D">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7.1技术保障</w:t>
      </w:r>
    </w:p>
    <w:p w14:paraId="5438EA64">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7.2通信与交通保障</w:t>
      </w:r>
    </w:p>
    <w:p w14:paraId="520F71B5">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7.3 物资保障</w:t>
      </w:r>
    </w:p>
    <w:p w14:paraId="492E44C0">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7.4资金保障</w:t>
      </w:r>
    </w:p>
    <w:p w14:paraId="1AFF639C">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7.5宣传教育</w:t>
      </w:r>
    </w:p>
    <w:p w14:paraId="00CA44EC">
      <w:pPr>
        <w:spacing w:line="560" w:lineRule="exact"/>
        <w:ind w:firstLine="640" w:firstLineChars="200"/>
        <w:rPr>
          <w:rFonts w:ascii="Times New Roman" w:hAnsi="Times New Roman" w:eastAsia="仿宋_GB2312"/>
          <w:sz w:val="32"/>
          <w:szCs w:val="32"/>
        </w:rPr>
      </w:pPr>
      <w:r>
        <w:rPr>
          <w:rFonts w:ascii="Times New Roman" w:hAnsi="Times New Roman" w:eastAsia="黑体"/>
          <w:sz w:val="32"/>
          <w:szCs w:val="32"/>
        </w:rPr>
        <w:t>8  奖惩</w:t>
      </w:r>
    </w:p>
    <w:p w14:paraId="22337099">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9  附则</w:t>
      </w:r>
    </w:p>
    <w:p w14:paraId="0421E2DB">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9.1名词术语解释</w:t>
      </w:r>
    </w:p>
    <w:p w14:paraId="4C453A50">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9.2预案管理</w:t>
      </w:r>
    </w:p>
    <w:p w14:paraId="34EE81F9">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9.3预案解释部门</w:t>
      </w:r>
    </w:p>
    <w:p w14:paraId="133ED6CC">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9.4预案实施时间</w:t>
      </w:r>
    </w:p>
    <w:p w14:paraId="5F79FAED">
      <w:pPr>
        <w:spacing w:line="560" w:lineRule="exact"/>
        <w:ind w:firstLine="640" w:firstLineChars="200"/>
        <w:rPr>
          <w:rFonts w:ascii="Times New Roman" w:hAnsi="Times New Roman" w:eastAsia="仿宋_GB2312"/>
          <w:sz w:val="32"/>
          <w:szCs w:val="32"/>
        </w:rPr>
      </w:pPr>
      <w:r>
        <w:rPr>
          <w:rFonts w:ascii="Times New Roman" w:hAnsi="Times New Roman" w:eastAsia="黑体"/>
          <w:sz w:val="32"/>
          <w:szCs w:val="32"/>
        </w:rPr>
        <w:t>10 附件</w:t>
      </w:r>
    </w:p>
    <w:p w14:paraId="0145BE79">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10.1应急组织体系框架图</w:t>
      </w:r>
    </w:p>
    <w:p w14:paraId="13495DD4">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10.2突发公共卫生事件报告系统示意图</w:t>
      </w:r>
    </w:p>
    <w:p w14:paraId="5C5FE290">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10.3卫生应急处置队伍</w:t>
      </w:r>
    </w:p>
    <w:p w14:paraId="063C6C2B">
      <w:pPr>
        <w:rPr>
          <w:rFonts w:ascii="Times New Roman" w:hAnsi="Times New Roman" w:eastAsia="仿宋_GB2312"/>
          <w:sz w:val="32"/>
          <w:szCs w:val="32"/>
        </w:rPr>
      </w:pPr>
      <w:r>
        <w:rPr>
          <w:rFonts w:ascii="Times New Roman" w:hAnsi="Times New Roman" w:eastAsia="仿宋_GB2312"/>
          <w:sz w:val="32"/>
          <w:szCs w:val="32"/>
        </w:rPr>
        <w:br w:type="page"/>
      </w:r>
    </w:p>
    <w:p w14:paraId="4D604EAD">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1  总则</w:t>
      </w:r>
    </w:p>
    <w:p w14:paraId="2E64EB85">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1.1  编制目的</w:t>
      </w:r>
    </w:p>
    <w:p w14:paraId="25837AB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有效预防、及时控制和消除突发公共卫生事件及其危害，指导和规范各类突发公共卫生事件的应急处置工作，最大限度地减少突发公共卫生事件对公众健康造成的危害，保障公众身体健康与生命安全，保持社会稳定，促进经济发展。</w:t>
      </w:r>
    </w:p>
    <w:p w14:paraId="5784E48C">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1.2  编制依据</w:t>
      </w:r>
    </w:p>
    <w:p w14:paraId="2D82BCEA">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依据《中华人民共和国传染病防治法》《中华人民共和国突发事件应对法》《中华人民共和国职业病防治法》《中华人民共和国国境卫生检疫法》《突发公共卫生事件应急条例》《国内交通卫生检疫条例》《江苏省实施＜突发公共卫生事件应急条例＞办法》和《国家突发公共卫生事件应急预案》《江苏省突发公共卫生事件应急预案》《连云港市突发公共卫生事件应急预案》《开发区突发公共事件总体应急预案》等，制定本预案。</w:t>
      </w:r>
    </w:p>
    <w:p w14:paraId="39D61A7F">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1.3  适用范围</w:t>
      </w:r>
    </w:p>
    <w:p w14:paraId="5B3E1778">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主要适用于连云港经济技术开发区（以下简称开发区）辖区范围内突然发生，造成或者可能造成社会公众身心健康严重损害的重大传染病、群体性不明原因疾病、重大职业中毒以及因自然灾害、事故灾难或社会安全等事件引起的严重影响公众身心健康的公共卫生事件的应急处置工作。</w:t>
      </w:r>
    </w:p>
    <w:p w14:paraId="3859D637">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凡涉及跨本行政区域的，或超出本区处置能力的，或需要由市级以上负责处置的较大、重大或特别重大突发公共卫生事件的应急处置工作，依据《江苏省突发公共卫生事件应急预案》《连云港市突发公共卫生事件应急预案》进行处置。</w:t>
      </w:r>
    </w:p>
    <w:p w14:paraId="3566D557">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1.4  工作原则</w:t>
      </w:r>
    </w:p>
    <w:p w14:paraId="2FF7E61F">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遵循预防为主、常备不懈的方针，贯彻统一领导、分级负责，明确职责、属地管理，依法规范、快速反应，依靠科技、加强协作，平战结合、资源共享的原则。</w:t>
      </w:r>
    </w:p>
    <w:p w14:paraId="1AAC2FAE">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2  事件分级</w:t>
      </w:r>
    </w:p>
    <w:p w14:paraId="5BFB606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根据突发公共卫生事件的性质、危害程度、涉及范围，将突发公共卫生事件划分为特别重大（</w:t>
      </w:r>
      <w:r>
        <w:rPr>
          <w:rFonts w:hint="eastAsia" w:ascii="宋体" w:hAnsi="宋体" w:eastAsia="宋体" w:cs="宋体"/>
          <w:sz w:val="32"/>
          <w:szCs w:val="32"/>
        </w:rPr>
        <w:t>Ⅰ</w:t>
      </w:r>
      <w:r>
        <w:rPr>
          <w:rFonts w:ascii="Times New Roman" w:hAnsi="Times New Roman" w:eastAsia="仿宋_GB2312"/>
          <w:sz w:val="32"/>
          <w:szCs w:val="32"/>
        </w:rPr>
        <w:t>级）、重大（</w:t>
      </w:r>
      <w:r>
        <w:rPr>
          <w:rFonts w:hint="eastAsia" w:ascii="宋体" w:hAnsi="宋体" w:eastAsia="宋体" w:cs="宋体"/>
          <w:sz w:val="32"/>
          <w:szCs w:val="32"/>
        </w:rPr>
        <w:t>Ⅱ</w:t>
      </w:r>
      <w:r>
        <w:rPr>
          <w:rFonts w:ascii="Times New Roman" w:hAnsi="Times New Roman" w:eastAsia="仿宋_GB2312"/>
          <w:sz w:val="32"/>
          <w:szCs w:val="32"/>
        </w:rPr>
        <w:t>级）、较大（</w:t>
      </w:r>
      <w:r>
        <w:rPr>
          <w:rFonts w:hint="eastAsia" w:ascii="宋体" w:hAnsi="宋体" w:eastAsia="宋体" w:cs="宋体"/>
          <w:sz w:val="32"/>
          <w:szCs w:val="32"/>
        </w:rPr>
        <w:t>Ⅲ</w:t>
      </w:r>
      <w:r>
        <w:rPr>
          <w:rFonts w:ascii="Times New Roman" w:hAnsi="Times New Roman" w:eastAsia="仿宋_GB2312"/>
          <w:sz w:val="32"/>
          <w:szCs w:val="32"/>
        </w:rPr>
        <w:t>级）和一般（</w:t>
      </w:r>
      <w:r>
        <w:rPr>
          <w:rFonts w:hint="eastAsia" w:ascii="宋体" w:hAnsi="宋体" w:eastAsia="宋体" w:cs="宋体"/>
          <w:sz w:val="32"/>
          <w:szCs w:val="32"/>
        </w:rPr>
        <w:t>Ⅳ</w:t>
      </w:r>
      <w:r>
        <w:rPr>
          <w:rFonts w:ascii="Times New Roman" w:hAnsi="Times New Roman" w:eastAsia="仿宋_GB2312"/>
          <w:sz w:val="32"/>
          <w:szCs w:val="32"/>
        </w:rPr>
        <w:t>级）四级。</w:t>
      </w:r>
    </w:p>
    <w:p w14:paraId="505C248B">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2.1  特别重大突发公共卫生事件</w:t>
      </w:r>
      <w:r>
        <w:rPr>
          <w:rFonts w:ascii="Times New Roman" w:hAnsi="Times New Roman" w:eastAsia="仿宋_GB2312"/>
          <w:sz w:val="32"/>
          <w:szCs w:val="32"/>
        </w:rPr>
        <w:t>（</w:t>
      </w:r>
      <w:r>
        <w:rPr>
          <w:rFonts w:hint="eastAsia" w:ascii="宋体" w:hAnsi="宋体" w:eastAsia="宋体" w:cs="宋体"/>
          <w:sz w:val="32"/>
          <w:szCs w:val="32"/>
        </w:rPr>
        <w:t>Ⅰ</w:t>
      </w:r>
      <w:r>
        <w:rPr>
          <w:rFonts w:ascii="Times New Roman" w:hAnsi="Times New Roman" w:eastAsia="仿宋_GB2312"/>
          <w:sz w:val="32"/>
          <w:szCs w:val="32"/>
        </w:rPr>
        <w:t>级）</w:t>
      </w:r>
    </w:p>
    <w:p w14:paraId="18449E7B">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（1）肺鼠疫、肺炭疽在连云港市发生，疫情有扩散趋势；或肺鼠疫、肺炭疽疫情波及包括连云港市在内的2个以上的省份，并有进一步扩散趋势；</w:t>
      </w:r>
    </w:p>
    <w:p w14:paraId="6CC8DC2A">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（2）发生传染性非典型肺炎，疫情有扩散趋势；</w:t>
      </w:r>
    </w:p>
    <w:p w14:paraId="1AF84D7B">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（3）涉及包括江苏省在内的多个省份的群体性不明原因疾病，并有扩散趋势（已波及连云港市）；</w:t>
      </w:r>
    </w:p>
    <w:p w14:paraId="0C28A45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（4）发生新传染病，或我国尚未发现的传染病在江苏省发生或传入江苏省（已波及连云港市），并有扩散趋势；或发现我国已消灭传染病在我省重新流行；</w:t>
      </w:r>
    </w:p>
    <w:p w14:paraId="3028EB3C">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（5）发生烈性病菌株、毒株、致病因子等丢失事件；</w:t>
      </w:r>
    </w:p>
    <w:p w14:paraId="73576E84">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（6）周边以及与我市通航的国家和地区发生特大传染病疫情，并出现输入性病例（已波及连云港市），严重危及江苏省及连云港市公共卫生安全的事件；</w:t>
      </w:r>
    </w:p>
    <w:p w14:paraId="12D84BCA">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（7）国务院卫生健康行政部门认定的其他危害特别严重的突发公共卫生事件。</w:t>
      </w:r>
    </w:p>
    <w:p w14:paraId="5D4EC53E">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2.2  重大突发公共卫生事件（</w:t>
      </w:r>
      <w:r>
        <w:rPr>
          <w:rFonts w:hint="eastAsia" w:ascii="宋体" w:hAnsi="宋体" w:eastAsia="宋体" w:cs="宋体"/>
          <w:sz w:val="32"/>
          <w:szCs w:val="32"/>
        </w:rPr>
        <w:t>Ⅱ</w:t>
      </w:r>
      <w:r>
        <w:rPr>
          <w:rFonts w:ascii="Times New Roman" w:hAnsi="Times New Roman" w:eastAsia="楷体_GB2312"/>
          <w:sz w:val="32"/>
          <w:szCs w:val="32"/>
        </w:rPr>
        <w:t>级）</w:t>
      </w:r>
    </w:p>
    <w:p w14:paraId="27A029CE">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有下列情形之一的为重大突发公共卫生事件（</w:t>
      </w:r>
      <w:r>
        <w:rPr>
          <w:rFonts w:hint="eastAsia" w:ascii="宋体" w:hAnsi="宋体" w:eastAsia="宋体" w:cs="宋体"/>
          <w:sz w:val="32"/>
          <w:szCs w:val="32"/>
        </w:rPr>
        <w:t>Ⅱ</w:t>
      </w:r>
      <w:r>
        <w:rPr>
          <w:rFonts w:ascii="Times New Roman" w:hAnsi="Times New Roman" w:eastAsia="仿宋_GB2312"/>
          <w:sz w:val="32"/>
          <w:szCs w:val="32"/>
        </w:rPr>
        <w:t>级）：</w:t>
      </w:r>
    </w:p>
    <w:p w14:paraId="3ED62B9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（1）在连云港市范围内，1个平均潜伏期内（6天）发生5例以上肺鼠疫、肺炭疽病例，或连云港市其他县区相关联的疫情波及到我区；</w:t>
      </w:r>
    </w:p>
    <w:p w14:paraId="4FD083A9">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（2）腺鼠疫发生流行，在连云港市范围内，1个平均潜伏期内多点连续发病20例以上，或流行范围波及市外（已波及我区）；</w:t>
      </w:r>
    </w:p>
    <w:p w14:paraId="0F1A69C3">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（3）发生传染性非典型肺炎疑似病例；</w:t>
      </w:r>
    </w:p>
    <w:p w14:paraId="6F3840AD">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（4）霍乱在连云港市范围内流行，1周内发病30例以上；或疫情波及市外，有扩散趋势（已波及我区）；</w:t>
      </w:r>
    </w:p>
    <w:p w14:paraId="64A85734">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（5）乙类、丙类传染病疫情波及连云港市包括我区在内的2个以上县（区），1周内发病水平超过前5年同期平均发病水平2倍以上；</w:t>
      </w:r>
    </w:p>
    <w:p w14:paraId="231D5A8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（6）我国尚未发现的传染病在连云港市发生或传入连云港市，尚未造成扩散（已波及我区）；</w:t>
      </w:r>
    </w:p>
    <w:p w14:paraId="4B089BBF">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（7）发生群体性不明原因疾病，扩散到我区以外的地区；</w:t>
      </w:r>
    </w:p>
    <w:p w14:paraId="2026A85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（8）发生重大医源性感染事件；</w:t>
      </w:r>
    </w:p>
    <w:p w14:paraId="6496B6B1">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（9）预防接种或群体预防性用药出现人员死亡事件；</w:t>
      </w:r>
    </w:p>
    <w:p w14:paraId="241B3927">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（10）一次发生急性职业中毒50人以上，或死亡5人以上；</w:t>
      </w:r>
    </w:p>
    <w:p w14:paraId="681F411A">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（11）境内外隐匿运输、邮寄烈性生物病原体、生物毒素造成我区范围内人员感染或死亡的；</w:t>
      </w:r>
    </w:p>
    <w:p w14:paraId="279FD159">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（12）省级以上卫生健康行政部门认定的其他危害严重的重大突发公共卫生事件。</w:t>
      </w:r>
    </w:p>
    <w:p w14:paraId="61618B08">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2.3  较大突发公共卫生事件（</w:t>
      </w:r>
      <w:r>
        <w:rPr>
          <w:rFonts w:hint="eastAsia" w:ascii="宋体" w:hAnsi="宋体" w:eastAsia="宋体" w:cs="宋体"/>
          <w:sz w:val="32"/>
          <w:szCs w:val="32"/>
        </w:rPr>
        <w:t>Ⅲ</w:t>
      </w:r>
      <w:r>
        <w:rPr>
          <w:rFonts w:ascii="Times New Roman" w:hAnsi="Times New Roman" w:eastAsia="楷体_GB2312"/>
          <w:sz w:val="32"/>
          <w:szCs w:val="32"/>
        </w:rPr>
        <w:t>级）</w:t>
      </w:r>
    </w:p>
    <w:p w14:paraId="72935697">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有下列情形之一的为较大突发公共卫生事件（</w:t>
      </w:r>
      <w:r>
        <w:rPr>
          <w:rFonts w:hint="eastAsia" w:ascii="宋体" w:hAnsi="宋体" w:eastAsia="宋体" w:cs="宋体"/>
          <w:sz w:val="32"/>
          <w:szCs w:val="32"/>
        </w:rPr>
        <w:t>Ⅲ</w:t>
      </w:r>
      <w:r>
        <w:rPr>
          <w:rFonts w:ascii="Times New Roman" w:hAnsi="Times New Roman" w:eastAsia="仿宋_GB2312"/>
          <w:sz w:val="32"/>
          <w:szCs w:val="32"/>
        </w:rPr>
        <w:t>级）：</w:t>
      </w:r>
    </w:p>
    <w:p w14:paraId="73E5A7EB">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（1）在连云港市范围内发生肺鼠疫、肺炭疽病例，1个平均潜伏期内（6天）病例数未超过5例；</w:t>
      </w:r>
    </w:p>
    <w:p w14:paraId="4A32AA03">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（2）腺鼠疫发生流行，在连云港市范围内，1个平均潜伏期内连续发病10例以上，或流行范围波及其他县区；</w:t>
      </w:r>
    </w:p>
    <w:p w14:paraId="7BD490EA">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（3）霍乱在连云港市范围内发生，1周内发病10-29例；或疫情波及其他县区；或在连云港市首次发生（已波及我区）；</w:t>
      </w:r>
    </w:p>
    <w:p w14:paraId="4CD4E54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（4）连云港市乙类、丙类传染病1周内发病水平超过前5年同期平均发病水平1倍以上；</w:t>
      </w:r>
    </w:p>
    <w:p w14:paraId="2D136C54">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（5）在连云港市范围内发生群体性不明原因疾病；</w:t>
      </w:r>
    </w:p>
    <w:p w14:paraId="4FFE67DD">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（6）预防接种或群体预防性用药导致群体性心因反应或不良反应；</w:t>
      </w:r>
    </w:p>
    <w:p w14:paraId="176BD723">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（7）一次发生急性职业中毒10-49人，或死亡5人以下；</w:t>
      </w:r>
    </w:p>
    <w:p w14:paraId="57B3C94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（8）市卫生健康行政部门认定的其他较大突发公共卫生事件。</w:t>
      </w:r>
    </w:p>
    <w:p w14:paraId="5D8CC2F9">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2.4  一般突发公共卫生事件（</w:t>
      </w:r>
      <w:r>
        <w:rPr>
          <w:rFonts w:hint="eastAsia" w:ascii="宋体" w:hAnsi="宋体" w:eastAsia="宋体" w:cs="宋体"/>
          <w:sz w:val="32"/>
          <w:szCs w:val="32"/>
        </w:rPr>
        <w:t>Ⅳ</w:t>
      </w:r>
      <w:r>
        <w:rPr>
          <w:rFonts w:ascii="Times New Roman" w:hAnsi="Times New Roman" w:eastAsia="楷体_GB2312"/>
          <w:sz w:val="32"/>
          <w:szCs w:val="32"/>
        </w:rPr>
        <w:t>级）</w:t>
      </w:r>
    </w:p>
    <w:p w14:paraId="6E5B521C">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有下列情形之一的为一般突发公共卫生事件（</w:t>
      </w:r>
      <w:r>
        <w:rPr>
          <w:rFonts w:hint="eastAsia" w:ascii="宋体" w:hAnsi="宋体" w:eastAsia="宋体" w:cs="宋体"/>
          <w:sz w:val="32"/>
          <w:szCs w:val="32"/>
        </w:rPr>
        <w:t>Ⅳ</w:t>
      </w:r>
      <w:r>
        <w:rPr>
          <w:rFonts w:ascii="Times New Roman" w:hAnsi="Times New Roman" w:eastAsia="仿宋_GB2312"/>
          <w:sz w:val="32"/>
          <w:szCs w:val="32"/>
        </w:rPr>
        <w:t>级）：</w:t>
      </w:r>
    </w:p>
    <w:p w14:paraId="45AAB0B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（1）腺鼠疫在我区范围内发生，1个平均潜伏期内病例数未超过10例；</w:t>
      </w:r>
    </w:p>
    <w:p w14:paraId="1F1D0004">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（2）霍乱在我区范围内发生，1周内发病10例以下；</w:t>
      </w:r>
    </w:p>
    <w:p w14:paraId="01DDB194">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（3）一次发生急性职业中毒10人以下，未出现死亡病例；</w:t>
      </w:r>
    </w:p>
    <w:p w14:paraId="4496785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（4）区级以上卫生健康行政部门认定的其他一般突发公共卫生事件。</w:t>
      </w:r>
    </w:p>
    <w:p w14:paraId="261B91FF">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上述有关数量的表述中，“以上”含本数，“以下”不含本数。</w:t>
      </w:r>
    </w:p>
    <w:p w14:paraId="761FFC55">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食物中毒的应急处置按照《开发区食品安全事故应急预案》执行。</w:t>
      </w:r>
    </w:p>
    <w:p w14:paraId="6F36F034">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3  组织体系</w:t>
      </w:r>
    </w:p>
    <w:p w14:paraId="2102E9E2">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3.1  应急指挥机构</w:t>
      </w:r>
    </w:p>
    <w:p w14:paraId="7162A80B">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 xml:space="preserve">3.1.1  区突发公共卫生事件应急指挥机构 </w:t>
      </w:r>
    </w:p>
    <w:p w14:paraId="1C8E67B4">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成立区突发公共卫生事件应急指挥领导小组（以下简称区应急指挥领导小组），作为我区突发公共卫生事件应急处置工作的领导指挥机构，统一领导全区突发公共卫生事件的应急处置工作，组长由区管委会主任或分管主任担任，区应急指挥领导小组的成员单位根据突发公共卫生事件的性质和应急处置工作的需要确定，主要由区党政办、区政法委、区组织宣传部、区经济发展局、区财政局、区住房和城乡建设局、区社会事业局、区综合行政执法局、区生态环境局、区公安分局、区应急管理局、区行政审批局、区科技局、区人力资源和社会保障局、交警开发区大队、区人民法院、区检察院、区综合保税区管理局、连云港海关驻综保区科室、连云港火车东站等组成。</w:t>
      </w:r>
    </w:p>
    <w:p w14:paraId="722E266B">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主要职责：建立应对突发公共卫生事件的专家咨询委员会，确认突发公共卫生事件的级别，做好预测、预警、预防工作；领导和指挥我区突发公共卫生事件应急处置工作，上报突发公共卫生事件的信息；开展相应的演习、演练、科研等工作。</w:t>
      </w:r>
    </w:p>
    <w:p w14:paraId="2BE4A7BF">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成员单位职责如下：</w:t>
      </w:r>
    </w:p>
    <w:p w14:paraId="229BE597">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区政法委：负责对区应急指挥领导小组对外发布的通告、公告、规范性文件等进行合法性审核工作。</w:t>
      </w:r>
    </w:p>
    <w:p w14:paraId="7B11426D">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区组织宣传部：负责组织新闻媒体积极主动地正确引导舆论，加强突发公共卫生事件应急处置的宣传报道和危机心理干预，大力普及疫病防治知识。</w:t>
      </w:r>
    </w:p>
    <w:p w14:paraId="2FE6F13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区经济发展局：</w:t>
      </w:r>
      <w:r>
        <w:rPr>
          <w:rFonts w:ascii="Times New Roman" w:hAnsi="Times New Roman" w:eastAsia="仿宋_GB2312"/>
          <w:bCs/>
          <w:sz w:val="32"/>
          <w:szCs w:val="32"/>
        </w:rPr>
        <w:t>负责将突发公共卫生事件应急处置工作纳入经济社会发展相关规划；负责在突发公共卫生事件发生期间，做好参加商务活动人员的宣传、登记、防范工作，防止突发公共卫生事件在商务活动期间跨地区传播扩散，做好生活物资保供工作；</w:t>
      </w:r>
      <w:r>
        <w:rPr>
          <w:rFonts w:ascii="Times New Roman" w:hAnsi="Times New Roman" w:eastAsia="仿宋_GB2312"/>
          <w:sz w:val="32"/>
          <w:szCs w:val="32"/>
        </w:rPr>
        <w:t>负责组织、会同有关部门协调各通信运营企业为突发公共卫生事件应急处理提供通信保障工作；负责组织企业、商场、超市等人群密集场所的突发公共卫生事件防范工作，落实各项控制措施。</w:t>
      </w:r>
    </w:p>
    <w:p w14:paraId="78123AEC">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区行政审批局：</w:t>
      </w:r>
      <w:r>
        <w:rPr>
          <w:rFonts w:ascii="Times New Roman" w:hAnsi="Times New Roman" w:eastAsia="仿宋_GB2312"/>
          <w:bCs/>
          <w:sz w:val="32"/>
          <w:szCs w:val="32"/>
        </w:rPr>
        <w:t>负责按规定做好突发公共卫生事件应急防治体系项目审批或核准工作。</w:t>
      </w:r>
    </w:p>
    <w:p w14:paraId="491EE654">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区财政局：</w:t>
      </w:r>
      <w:r>
        <w:rPr>
          <w:rFonts w:ascii="Times New Roman" w:hAnsi="Times New Roman" w:eastAsia="仿宋_GB2312"/>
          <w:bCs/>
          <w:sz w:val="32"/>
          <w:szCs w:val="32"/>
        </w:rPr>
        <w:t>负责安排突发公共卫生事件应急处置必要经费，并做好经费使用的监督管理工作。</w:t>
      </w:r>
    </w:p>
    <w:p w14:paraId="31703222">
      <w:pPr>
        <w:spacing w:line="560" w:lineRule="exact"/>
        <w:ind w:firstLine="640" w:firstLineChars="200"/>
        <w:rPr>
          <w:rFonts w:ascii="Times New Roman" w:hAnsi="Times New Roman" w:eastAsia="仿宋_GB2312"/>
          <w:sz w:val="32"/>
          <w:szCs w:val="32"/>
        </w:rPr>
      </w:pPr>
      <w:r>
        <w:rPr>
          <w:rFonts w:ascii="Times New Roman" w:hAnsi="Times New Roman" w:eastAsia="仿宋_GB2312"/>
          <w:bCs/>
          <w:sz w:val="32"/>
          <w:szCs w:val="32"/>
        </w:rPr>
        <w:t>区人力资源和社会保障局：</w:t>
      </w:r>
      <w:r>
        <w:rPr>
          <w:rFonts w:ascii="Times New Roman" w:hAnsi="Times New Roman" w:eastAsia="仿宋_GB2312"/>
          <w:sz w:val="32"/>
          <w:szCs w:val="32"/>
        </w:rPr>
        <w:t>负责落实参与突发公共卫生事件应急处置工作人员的工伤保险政策，做好外来务工人员的突发公共卫生事件防控工作。</w:t>
      </w:r>
    </w:p>
    <w:p w14:paraId="25497B77">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住房和城乡建设局、连云港火车东站：负责疾病预防控制机构、医疗机构、医学观察留验场所和疫点内已消毒完结的生活垃圾的清运、转运和污水处理工作，会同有关部门做好消杀工作；负责组织建筑工地等人群密集场所的突发公共卫生事件防范工作，落实各项控制措施；负责对公共交通工具及其乘运人员进行检疫、查验工作；督促做好公共交通工具通风、消毒等工作；组织制订并实施检疫、留验、调查、处置方案，将发现的传染病病人和疑似传染病病人移交指定的医疗机构处置，防止传染病通过交通运输环节传播。</w:t>
      </w:r>
    </w:p>
    <w:p w14:paraId="0C531DA7">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区科技局：</w:t>
      </w:r>
      <w:r>
        <w:rPr>
          <w:rFonts w:ascii="Times New Roman" w:hAnsi="Times New Roman" w:eastAsia="仿宋_GB2312"/>
          <w:sz w:val="32"/>
          <w:szCs w:val="32"/>
        </w:rPr>
        <w:t>负责组织突发公共卫生事件应急防治技术的科技攻关，组织开展科研合作与交流。</w:t>
      </w:r>
    </w:p>
    <w:p w14:paraId="5CEF4F18">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区社会事业局：</w:t>
      </w:r>
      <w:r>
        <w:rPr>
          <w:rFonts w:ascii="Times New Roman" w:hAnsi="Times New Roman" w:eastAsia="仿宋_GB2312"/>
          <w:bCs/>
          <w:sz w:val="32"/>
          <w:szCs w:val="32"/>
        </w:rPr>
        <w:t>负责组织制订突发公共卫生事件防控技术方案；统一组织实施应急医疗救治工作和各项预防控制措施，并进行检查、督导；根据预防控制工作需要，依法提出隔离、封锁有关地区等建议；依法及时报告突发公共卫生事件信息；组织人员培训和提供技术支持等。</w:t>
      </w:r>
      <w:r>
        <w:rPr>
          <w:rFonts w:ascii="Times New Roman" w:hAnsi="Times New Roman" w:eastAsia="仿宋_GB2312"/>
          <w:sz w:val="32"/>
          <w:szCs w:val="32"/>
        </w:rPr>
        <w:t>负责组织学校、公共文化场所、娱乐场所、旅游景区、宾馆等人群密集场所的突发公共卫生事件防范工作，落实各项控制措施；负责组织并管理社会捐助工作，做好捐助款物的管理和发放工作，对符合条件的困难群众进行基本生活救助，指导社区、村委会力量，参与群防群控群治，协调做好死亡人员的遗体消毒、火化工作。负责动物疫病的防控工作，开展对人兽共患病的监测和防疫监管工作；负责组织群众开展现场自救和互救，依法接受国内外组织和个人的捐赠及物资发放，提供急需的人道主义援助。</w:t>
      </w:r>
    </w:p>
    <w:p w14:paraId="147DFF83">
      <w:pPr>
        <w:spacing w:line="560" w:lineRule="exact"/>
        <w:ind w:firstLine="640" w:firstLineChars="200"/>
        <w:rPr>
          <w:rFonts w:ascii="Times New Roman" w:hAnsi="Times New Roman" w:eastAsia="仿宋_GB2312"/>
          <w:sz w:val="32"/>
          <w:szCs w:val="32"/>
        </w:rPr>
      </w:pPr>
      <w:r>
        <w:rPr>
          <w:rFonts w:ascii="Times New Roman" w:hAnsi="Times New Roman" w:eastAsia="仿宋_GB2312"/>
          <w:bCs/>
          <w:sz w:val="32"/>
          <w:szCs w:val="32"/>
        </w:rPr>
        <w:t>区综合行政执法局：</w:t>
      </w:r>
      <w:r>
        <w:rPr>
          <w:rFonts w:ascii="Times New Roman" w:hAnsi="Times New Roman" w:eastAsia="仿宋_GB2312"/>
          <w:sz w:val="32"/>
          <w:szCs w:val="32"/>
        </w:rPr>
        <w:t>负责组织农贸市场、餐饮单位、食品加工企业等人群密集场所的突发公共卫生事件防范工作，落实各项控制措施。</w:t>
      </w:r>
    </w:p>
    <w:p w14:paraId="31E0A8C1">
      <w:pPr>
        <w:spacing w:line="560" w:lineRule="exact"/>
        <w:ind w:firstLine="640" w:firstLineChars="200"/>
        <w:rPr>
          <w:rFonts w:ascii="Times New Roman" w:hAnsi="Times New Roman" w:eastAsia="仿宋_GB2312"/>
          <w:sz w:val="32"/>
          <w:szCs w:val="32"/>
        </w:rPr>
      </w:pPr>
      <w:r>
        <w:rPr>
          <w:rFonts w:ascii="Times New Roman" w:hAnsi="Times New Roman" w:eastAsia="仿宋_GB2312"/>
          <w:bCs/>
          <w:sz w:val="32"/>
          <w:szCs w:val="32"/>
        </w:rPr>
        <w:t>区应急管理局：</w:t>
      </w:r>
      <w:r>
        <w:rPr>
          <w:rFonts w:ascii="Times New Roman" w:hAnsi="Times New Roman" w:eastAsia="仿宋_GB2312"/>
          <w:sz w:val="32"/>
          <w:szCs w:val="32"/>
        </w:rPr>
        <w:t>负责做好监管行业企业的宣传、发动工作，协助做好受灾群众的紧急转移、安置工作。</w:t>
      </w:r>
    </w:p>
    <w:p w14:paraId="5BE071C1">
      <w:pPr>
        <w:spacing w:line="560" w:lineRule="exact"/>
        <w:ind w:firstLine="640" w:firstLineChars="200"/>
        <w:rPr>
          <w:rFonts w:ascii="Times New Roman" w:hAnsi="Times New Roman" w:eastAsia="仿宋_GB2312"/>
          <w:sz w:val="32"/>
          <w:szCs w:val="32"/>
        </w:rPr>
      </w:pPr>
      <w:r>
        <w:rPr>
          <w:rFonts w:ascii="Times New Roman" w:hAnsi="Times New Roman" w:eastAsia="仿宋_GB2312"/>
          <w:bCs/>
          <w:sz w:val="32"/>
          <w:szCs w:val="32"/>
        </w:rPr>
        <w:t>区人民法院：</w:t>
      </w:r>
      <w:r>
        <w:rPr>
          <w:rFonts w:ascii="Times New Roman" w:hAnsi="Times New Roman" w:eastAsia="仿宋_GB2312"/>
          <w:sz w:val="32"/>
          <w:szCs w:val="32"/>
        </w:rPr>
        <w:t>负责对辖区内突发公共卫生事件防控期间涉及防控工作案件的审判工作，坚持罪行法定原则和证据裁判规则，依法从严惩处。</w:t>
      </w:r>
    </w:p>
    <w:p w14:paraId="3C83E91E">
      <w:pPr>
        <w:spacing w:line="560" w:lineRule="exact"/>
        <w:ind w:firstLine="640" w:firstLineChars="200"/>
        <w:rPr>
          <w:rFonts w:ascii="Times New Roman" w:hAnsi="Times New Roman" w:eastAsia="仿宋_GB2312"/>
          <w:sz w:val="32"/>
          <w:szCs w:val="32"/>
        </w:rPr>
      </w:pPr>
      <w:r>
        <w:rPr>
          <w:rFonts w:ascii="Times New Roman" w:hAnsi="Times New Roman" w:eastAsia="仿宋_GB2312"/>
          <w:bCs/>
          <w:sz w:val="32"/>
          <w:szCs w:val="32"/>
        </w:rPr>
        <w:t>区检察院：</w:t>
      </w:r>
      <w:r>
        <w:rPr>
          <w:rFonts w:ascii="Times New Roman" w:hAnsi="Times New Roman" w:eastAsia="仿宋_GB2312"/>
          <w:sz w:val="32"/>
          <w:szCs w:val="32"/>
        </w:rPr>
        <w:t>依法履行检察职能，从严惩处在突发公共卫生事件防控期间，故意传播突发传染病病原体等，危害公共安全，生产、销售伪劣防治、防护产品和物资、用于防治传染病的假药、劣药以及不符合标准的医用器材等，利用疫情哄抬物价、囤积居奇、牟取暴利等严重扰乱市场秩序等犯罪行为。</w:t>
      </w:r>
    </w:p>
    <w:p w14:paraId="4CBFC349">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区生态环境局：负责做好环境质量监测与环境保护监督执法。</w:t>
      </w:r>
    </w:p>
    <w:p w14:paraId="7BD4151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公安分局：负责医疗机构、医学观察留验场所、疫点和实施卫生检疫区域的治安管理；负责密切关注与疫情有关的社会动态，会同有关部门依法、及时、妥善处置与疫情有关的突发事件，查处打击违法犯罪活动，维护社会稳定。配合卫生健康和海关部门依法落实封锁、控制、隔离等措施。</w:t>
      </w:r>
    </w:p>
    <w:p w14:paraId="2C5A4072">
      <w:pPr>
        <w:spacing w:line="560" w:lineRule="exact"/>
        <w:ind w:firstLine="640" w:firstLineChars="200"/>
        <w:rPr>
          <w:rFonts w:ascii="Times New Roman" w:hAnsi="Times New Roman" w:eastAsia="仿宋_GB2312"/>
          <w:sz w:val="32"/>
          <w:szCs w:val="32"/>
        </w:rPr>
      </w:pPr>
      <w:r>
        <w:rPr>
          <w:rFonts w:ascii="Times New Roman" w:hAnsi="Times New Roman" w:eastAsia="仿宋_GB2312"/>
          <w:bCs/>
          <w:sz w:val="32"/>
          <w:szCs w:val="32"/>
        </w:rPr>
        <w:t>交警开发区大队：</w:t>
      </w:r>
      <w:r>
        <w:rPr>
          <w:rFonts w:ascii="Times New Roman" w:hAnsi="Times New Roman" w:eastAsia="仿宋_GB2312"/>
          <w:sz w:val="32"/>
          <w:szCs w:val="32"/>
        </w:rPr>
        <w:t>确保突发公共卫生事件应急处置人员以及防治药品、器械等急用物资和有关标本的运送，做好疫区的交通管控工作。</w:t>
      </w:r>
    </w:p>
    <w:p w14:paraId="5AACC984">
      <w:pPr>
        <w:spacing w:line="560" w:lineRule="exact"/>
        <w:ind w:firstLine="640" w:firstLineChars="200"/>
        <w:rPr>
          <w:rFonts w:ascii="Times New Roman" w:hAnsi="Times New Roman" w:eastAsia="仿宋_GB2312"/>
          <w:sz w:val="32"/>
          <w:szCs w:val="32"/>
        </w:rPr>
      </w:pPr>
      <w:r>
        <w:rPr>
          <w:rFonts w:ascii="Times New Roman" w:hAnsi="Times New Roman" w:eastAsia="仿宋_GB2312"/>
          <w:bCs/>
          <w:sz w:val="32"/>
          <w:szCs w:val="32"/>
        </w:rPr>
        <w:t>连云港海关驻综保区科室：</w:t>
      </w:r>
      <w:r>
        <w:rPr>
          <w:rFonts w:ascii="Times New Roman" w:hAnsi="Times New Roman" w:eastAsia="仿宋_GB2312"/>
          <w:sz w:val="32"/>
          <w:szCs w:val="32"/>
        </w:rPr>
        <w:t>负责做好国境口岸的出入境卫生检疫、传染病监测、卫生监督和卫生处理工作，及时收集和通报国外传染病疫情信息。</w:t>
      </w:r>
    </w:p>
    <w:p w14:paraId="3029EA4A">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经济发展局、区社会事业局、区综合行政执法局等部门负责组织应急疫苗、药品、医疗设备和器械、消毒防护用品和生活必需品的生产、储备、调度和供应工作，严肃查处制售假冒伪劣产品和发布虚假广告行为，维护市场秩序，保持物价稳定。区综合行政执法局负责药品、医疗器械生产流通领域的质量监管。</w:t>
      </w:r>
    </w:p>
    <w:p w14:paraId="0D3F39F3">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党政办、区经济发展局、区综合保税区管理局、连云港海关驻综保区科室等部门负责做好境外返连人员涉及公共卫生事件的信息收集、通报及管控处置工作；区党政办负责做好我区的外籍人士和港澳台同胞医疗健康的联系协调和宣传解释工作。</w:t>
      </w:r>
    </w:p>
    <w:p w14:paraId="0F49231B">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其他有关部门根据本部门职责和突发公共卫生事件处置的需要，组织做好紧急物资的调运、市场监督管理、污染扩散的控制、相关规定的制定以及区应急指挥领导小组交办的相关工作。</w:t>
      </w:r>
    </w:p>
    <w:p w14:paraId="71482B02">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3.1.2  应急指挥机构的启动</w:t>
      </w:r>
    </w:p>
    <w:p w14:paraId="305F5AD3">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社会事业局依照职责和本预案的规定，在区党工委、管委会统一领导下，负责组织、协调全区突发公共卫生事件应急处置工作，并根据突发公共卫生事件应急处置工作的实际需要，报告区管委会启动区突发公共卫生事件应急指挥机构。区管委会根据区社会事业局的建议和实际工作需要，决定启动区突发公共卫生事件应急指挥机构。</w:t>
      </w:r>
    </w:p>
    <w:p w14:paraId="3C6C79A4">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 xml:space="preserve">3.2  日常办事机构 </w:t>
      </w:r>
    </w:p>
    <w:p w14:paraId="7D507D5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应急指挥领导小组在区社会事业局设立突发公共卫生事件应急处置办公室（简称卫生应急办公室），作为全区突发公共卫生事件应急处置的日常办事机构。主要职责是：履行值守应急、信息汇总和综合协调职责，及时了解、收集和汇总突发公共卫生事件信息，向区管委会报告、并通报各街道办事处；建立完善全区突发公共卫生事件应急防治体系、应急指挥信息平台；负责编制、修订区突发公共卫生事件应急预案并指导实施；组织突发公共卫生事件发展趋势研究和应急处置措施的会商，协调我区范围内突发公共卫生事件的预防预警、应急演练、应急处置、调查评估、信息报告、应急保障和宣传培训等工作；负责处理日常事务，承办区应急指挥领导小组交办的其他工作。</w:t>
      </w:r>
    </w:p>
    <w:p w14:paraId="2BE24941">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 xml:space="preserve">3.3  专家咨询委员会 </w:t>
      </w:r>
    </w:p>
    <w:p w14:paraId="17664519">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区应急指挥领导小组聘请相关专家组成区突发公共卫生事件应急处置专家咨询委员会，主要职责是：对突发公共卫生事件的分级以及采取相应的预防控制措施提出建议；对突发公共卫生事件应急准备提出咨询建议；参与制定、修订突发公共卫生事件应急预案和技术方案；对突发公共卫生事件的应急处置进行技术指导，必要时参加突发公共卫生事件的应急处置工作；对突发公共卫生事件应急响应的终止、后期评估提出咨询意见；承办区应急指挥领导小组交办的其他工作。 </w:t>
      </w:r>
    </w:p>
    <w:p w14:paraId="0EE22B0A">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3.4  现场指挥部</w:t>
      </w:r>
    </w:p>
    <w:p w14:paraId="03C46645">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发生突发公共卫生事件时，成立现场指挥部。现场指挥部是突发公共卫生事件的现场应急处置机构，由区应急指挥领导小组及有关成员单位人员组成，下设若干应急小组，必要时吸收相关专家参与现场指挥工作。</w:t>
      </w:r>
    </w:p>
    <w:p w14:paraId="1CFFEEBF">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现场指挥部的主要职责是：确定现场应急处置方案，指挥协调现场应急处置工作，调动和调配各类应急资源，组织应急现场的各类保障工作，负责现场信息的收集、研判和上报工作，撰写灾情疫情评估报告。</w:t>
      </w:r>
    </w:p>
    <w:p w14:paraId="4E74E199">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现场指挥部下设若干应急小组:</w:t>
      </w:r>
    </w:p>
    <w:p w14:paraId="153068B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综合协调组：由区社会事业局、区公安分局、区应急管理局等部门组成。区社会事业局负责组织区疾病预防控制中心进行突发公共卫生事件流行病学等技术调查，组织各类医疗救治机构开展监测与救治工作，掌握、报告各项现场应急处置措施的落实情况，指导当地有关部门依法落实应急报告制度和通报制度，评估突发公共卫生事件可能的发展趋势和影响，向现场指挥部提出应急措施建议；区公安分局负责对突发公共卫生事件发生地的社会稳定和治安状况进行调查摸底，及时向现场指挥部汇报，对采取进一步的应对措施提出建议。</w:t>
      </w:r>
    </w:p>
    <w:p w14:paraId="1A715A5E">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预防控制组:</w:t>
      </w:r>
      <w:r>
        <w:rPr>
          <w:rFonts w:ascii="Times New Roman" w:hAnsi="Times New Roman" w:eastAsia="宋体"/>
          <w:szCs w:val="20"/>
        </w:rPr>
        <w:t xml:space="preserve"> </w:t>
      </w:r>
      <w:r>
        <w:rPr>
          <w:rFonts w:ascii="Times New Roman" w:hAnsi="Times New Roman" w:eastAsia="仿宋_GB2312"/>
          <w:sz w:val="32"/>
          <w:szCs w:val="32"/>
        </w:rPr>
        <w:t>由区社会事业局、区公安分局、区住房和城乡建设局、连云港海关驻综保区科室等组成。区社会事业局负责组织区疾病预防控制中心及相关技术人员开展突发公共卫生事件应急防控工作，包括进入现场进行调查、采样、技术分析和检验，对易受损害的人群采取应急疫苗接种、预防性用药和群体防护等措施，对相关人员采取医学隔离措施，对现场采取消毒、隔离措施，对地方开展的预防控制等应急处置工作进行指导，向现场应急指挥部提出进一步的预防控制措施建议，对参加现场应急处置的各类工作人员采取卫生防护措施等；负责组织区教学研究室协调、指导突发公共卫生事件发生地学校的预防控制工作。区公安分局根据突发公共卫生事件应急处置的需要和现场应急指挥部的指令，协助对人员进行疏散或者隔离，必要时依法对传染病疫区进行管制。区住房和城乡建设局负责为人员疏散提供交通保障，同时对需要采取防控措施的交通工具依法采取相应控制措施。连云港海关驻综保区科室负责做好出入境口岸的卫生检疫、传染病监测、卫生监督和卫生处理工作。</w:t>
      </w:r>
    </w:p>
    <w:p w14:paraId="7C32DCB5">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医疗救治组：由区社会事业局、区财政局组成。由区社会事业局负责组织、协调全区各级各类医疗救治机构及其相关专业人员，开展突发公共卫生事件的医疗救治工作，向现场指挥部提出进一步加强应急医疗救治措施建议。区财政局全面保障药品、医用耗材临床供应的相关费用。</w:t>
      </w:r>
    </w:p>
    <w:p w14:paraId="22012198">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物资供应组:由区经济发展局、区财政局、区社会事业局、区综合行政执法局等组成，由区经济发展局牵头。根据应急处置需要，在各自职责范围内组织、协调、保证突发公共卫生事件现场应急处置所需的医疗救护设备、救治药品、医疗器械、个人防护装备及用品等物资的调度、生产和供应工作。</w:t>
      </w:r>
    </w:p>
    <w:p w14:paraId="4C91F499">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应急资金组：由区财政局、区经济发展局组成，由区财政局牵头。组织、协调和及时安排突发公共卫生事件现场应急处置工作所需经费，并负责对经费使用情况进行监督。</w:t>
      </w:r>
    </w:p>
    <w:p w14:paraId="166352A7">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安全保卫组:由区公安分局、区检察院、区人民法院等组成。负责掌握、分析突发公共卫生事件现场社会治安动态，组织指挥做好突发公共卫生事件区域的治安管理，打击违法犯罪活动，依法、及时、妥善处置突发事件，维护现场指挥部的工作安全。</w:t>
      </w:r>
    </w:p>
    <w:p w14:paraId="5415314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后勤保障组:由区经济发展局、区社会事业局、交警开发区大队等组成，由区经济发展局牵头。负责现场指挥部及其相关人员的生活保障、交通保障、通信保障、卫生防护和医疗保障等各项后勤保障工作。</w:t>
      </w:r>
    </w:p>
    <w:p w14:paraId="0C9AF82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社会社区防控组:由区公安分局、区党政办、区组织宣传部、区社会事业局、区经济发展局、区住房和城乡建设局等组成，由区公安分局牵头。组织开展社会面整体防控和重点防控，维护社会稳定，督促指导各街道办事处组织村、居委会，开展宣传教育活动。</w:t>
      </w:r>
    </w:p>
    <w:p w14:paraId="05A29F8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救助捐赠组:由区社会事业局、区经济发展局等组成，由区社会事业局牵头。负责协调、组织接受有关方面对突发公共卫生事件应急处置的捐赠，研究制定救助、捐赠款物使用计划并组织实施。</w:t>
      </w:r>
    </w:p>
    <w:p w14:paraId="77C5524F">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宣传报道组:由区组织宣传部、区社会事业局等组成，由区组织宣传部牵头。依据有关规定，负责组织突发公共卫生事件应急处置工作的宣传报道，消除社会公众的恐慌心理和焦躁情绪；加强舆情监测，及时有效处置突发舆情事件。</w:t>
      </w:r>
    </w:p>
    <w:p w14:paraId="29403063">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根据实际工作需要，现场指挥部可另行增设有关专业工作组。</w:t>
      </w:r>
    </w:p>
    <w:p w14:paraId="24220161">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 xml:space="preserve">3.5  专业技术机构 </w:t>
      </w:r>
    </w:p>
    <w:p w14:paraId="1A087128">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各级各类医疗卫生机构是突发公共卫生事件应急处置的专业技术机构，要根据本单位的职责，开展专业技术人员处置突发公共卫生事件能力培训，提高快速反应能力和技术水平。发生突发公共卫生事件后，医疗卫生机构和专业技术人员必须服从区社会事业局的统一指挥和调度，开展应急处置工作。</w:t>
      </w:r>
    </w:p>
    <w:p w14:paraId="18621C9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3.5.1  疾病预防控制机构。主要负责突发公共卫生事件报告，现场流行病学调查处理（包括对有关人员采取观察和隔离措施，采集病人和环境标本，环境和物品的卫生学处理等），开展病因现场快速检测和实验室检测，加强疾病和健康监测。区疾病预防控制中心承担全区范围内突发公共卫生事件现场流行病学调查、处理的技术指导与支持。</w:t>
      </w:r>
    </w:p>
    <w:p w14:paraId="3BCFA78E">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3.5.2  医疗机构。主要负责病人的现场抢救、运送、诊断、治疗、医院内感染控制，检测样本的采集，配合进行病人的流行病学调查。</w:t>
      </w:r>
    </w:p>
    <w:p w14:paraId="6AB75353">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3.5.3  卫生监督机构。主要协助区社会事业局对公共卫生以及医疗卫生机构的疫情报告、医疗救治、传染病防治等进行卫生监督和执法稽查。</w:t>
      </w:r>
    </w:p>
    <w:p w14:paraId="01032DD5">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3.5.4  海关。主要负责口岸等出入境人员的健康申报、体温检测、医学巡查、疾病监测、疫情报告、病人控制、消毒处理、流行病学调查和宣传教育等。</w:t>
      </w:r>
    </w:p>
    <w:p w14:paraId="54FEC6D8">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4  监测、报告与预警</w:t>
      </w:r>
    </w:p>
    <w:p w14:paraId="0E335DA1">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4.1  监测</w:t>
      </w:r>
    </w:p>
    <w:p w14:paraId="64AD045A">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建立统一的突发公共卫生事件监测与报告网络体系。包括法定传染病和突发公共卫生事件监测报告网络、症状监测网络、实验室监测网络等。区医疗机构、疾病预防控制机构、卫生监督机构和连云港海关负责开展突发公共卫生事件的日常监测工作。</w:t>
      </w:r>
    </w:p>
    <w:p w14:paraId="0792B14C">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区社会事业局要加强对监测工作的管理和监督，保证监测质量。</w:t>
      </w:r>
    </w:p>
    <w:p w14:paraId="38D490BE">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4.2  报告</w:t>
      </w:r>
    </w:p>
    <w:p w14:paraId="555C00F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相关单位和个人应依法向区管委会及其有关部门报告突发公共卫生事件及其隐患，并依法向上级政府部门举报不履行或者不按照规定履行突发公共卫生事件应急处置职责的部门、单位及个人。</w:t>
      </w:r>
    </w:p>
    <w:p w14:paraId="772BC937">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4.2.1  责任报告单位和责任报告人</w:t>
      </w:r>
    </w:p>
    <w:p w14:paraId="6B44443B">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责任报告单位。区社会事业局指定的突发公共卫生事件监测机构，各级各类医疗卫生机构，各级政府、各有关单位（主要包括突发公共卫生事件发生单位、与群众健康和卫生保健工作有密切关系的机构，如海关、市场、药品监督管理机构、环境保护监测机构、教育机构等）。</w:t>
      </w:r>
    </w:p>
    <w:p w14:paraId="777775BF">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（2）责任报告人。执行职务的各级各类医疗卫生机构的医疗卫生人员。</w:t>
      </w:r>
    </w:p>
    <w:p w14:paraId="5BA6D35F">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4.2.2  报告时限和程序</w:t>
      </w:r>
    </w:p>
    <w:p w14:paraId="1898FA9E">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监测报告机构、医疗卫生机构和有关单位发现突发公共卫生事件，应当在2小时内向区社会事业局报告，并由区社会事业局向区管委会报告。区管委会和区社会事业局接到报告后，立即向市政府和市卫生健康委报告，并立即组织进行现场调查确认，及时采取必要的控制措施，随时报告事态进展情况。</w:t>
      </w:r>
    </w:p>
    <w:p w14:paraId="4BF23119">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对可能造成重大社会影响的突发公共卫生事件，应在2小时内报至市政府。</w:t>
      </w:r>
    </w:p>
    <w:p w14:paraId="28541284">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区社会事业局应视情况及时和其他县区互相通报信息。</w:t>
      </w:r>
    </w:p>
    <w:p w14:paraId="1CE74125">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4.2.3  报告内容</w:t>
      </w:r>
    </w:p>
    <w:p w14:paraId="3FDC5CA5">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突发公共卫生事件报告分为首次报告、进程报告和结案报告，要根据事件的严重程度、事态发展和控制情况及时报告事件进程。</w:t>
      </w:r>
    </w:p>
    <w:p w14:paraId="00B693DB">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首次报告未经调查确认的突发公共卫生事件或存在隐患的相关信息，应说明信息来源、危害范围、事件性质的初步判定和拟采取的措施，以及报告人姓名和通讯联系方式。</w:t>
      </w:r>
    </w:p>
    <w:p w14:paraId="22BDEC31">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经调查确认的突发公共卫生事件报告应包括事件性质、波及范围、危害程度、流行病学分布、事态评估、控制措施等内容。</w:t>
      </w:r>
    </w:p>
    <w:p w14:paraId="6A2AC581">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4.2.4  突发公共卫生事件网络直报</w:t>
      </w:r>
    </w:p>
    <w:p w14:paraId="46DEF5D9">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区疾病预防控制中心应直接通过互联网上的专用系统报告突发公共卫生事件信息，提高信息报告的及时性。</w:t>
      </w:r>
    </w:p>
    <w:p w14:paraId="7E248BC9">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4.2.5  突发公共卫生事件的通报</w:t>
      </w:r>
    </w:p>
    <w:p w14:paraId="5A9B1758">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突发公共卫生事件发生后，区社会事业局应当视情况及时向毗邻和可能波及的其他县区卫生健康行政部门通报。</w:t>
      </w:r>
    </w:p>
    <w:p w14:paraId="35F9C67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区管委会各有关部门对已经发生的突发公共卫生事件或发现可能引起突发公共卫生事件的情形时，应当及时向区社会事业局通报。</w:t>
      </w:r>
    </w:p>
    <w:p w14:paraId="32FFBBB8">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4.3  预警</w:t>
      </w:r>
    </w:p>
    <w:p w14:paraId="59A32BF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社会事业局根据医疗机构、疾病预防控制机构、卫生监督机构提供的监测信息，按照突发公共卫生事件的发生、发展规律和特点，及时分析其对公众健康的危害程度、可能的发展趋势，对可能发生和可以预警的突发公共卫生事件作出相应级别的预警。</w:t>
      </w:r>
    </w:p>
    <w:p w14:paraId="4ADACDD1">
      <w:pPr>
        <w:spacing w:line="560" w:lineRule="exact"/>
        <w:ind w:firstLine="640" w:firstLineChars="200"/>
        <w:rPr>
          <w:rFonts w:ascii="Times New Roman" w:hAnsi="Times New Roman" w:eastAsia="宋体"/>
          <w:sz w:val="32"/>
          <w:szCs w:val="32"/>
        </w:rPr>
      </w:pPr>
      <w:r>
        <w:rPr>
          <w:rFonts w:ascii="Times New Roman" w:hAnsi="Times New Roman" w:eastAsia="仿宋_GB2312"/>
          <w:sz w:val="32"/>
          <w:szCs w:val="32"/>
        </w:rPr>
        <w:t>突发公共卫生事件的预警级别，原则上根据突发公共卫生事件的性质、可能造成人员伤亡和危害公众健康的程度、受事件影响的范围等，按照以下权限确定：</w:t>
      </w:r>
    </w:p>
    <w:p w14:paraId="2065FD7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特别重大（</w:t>
      </w:r>
      <w:r>
        <w:rPr>
          <w:rFonts w:hint="eastAsia" w:ascii="宋体" w:hAnsi="宋体" w:eastAsia="宋体" w:cs="宋体"/>
          <w:sz w:val="32"/>
          <w:szCs w:val="32"/>
        </w:rPr>
        <w:t>Ⅰ</w:t>
      </w:r>
      <w:r>
        <w:rPr>
          <w:rFonts w:ascii="Times New Roman" w:hAnsi="Times New Roman" w:eastAsia="仿宋_GB2312"/>
          <w:sz w:val="32"/>
          <w:szCs w:val="32"/>
        </w:rPr>
        <w:t>级，红色）预警，由国家发布或者由省突发公共卫生事件应急指挥中心请示国家后，由省长签发；</w:t>
      </w:r>
    </w:p>
    <w:p w14:paraId="6DCFE85C">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重大（</w:t>
      </w:r>
      <w:r>
        <w:rPr>
          <w:rFonts w:hint="eastAsia" w:ascii="宋体" w:hAnsi="宋体" w:eastAsia="宋体" w:cs="宋体"/>
          <w:sz w:val="32"/>
          <w:szCs w:val="32"/>
        </w:rPr>
        <w:t>Ⅱ</w:t>
      </w:r>
      <w:r>
        <w:rPr>
          <w:rFonts w:ascii="Times New Roman" w:hAnsi="Times New Roman" w:eastAsia="仿宋_GB2312"/>
          <w:sz w:val="32"/>
          <w:szCs w:val="32"/>
        </w:rPr>
        <w:t>级，橙色）预警，由担任省突发公共卫生事件应急指挥中心总指挥的分管副省长请示省长后签发；</w:t>
      </w:r>
    </w:p>
    <w:p w14:paraId="1DDE360E">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较大（</w:t>
      </w:r>
      <w:r>
        <w:rPr>
          <w:rFonts w:hint="eastAsia" w:ascii="宋体" w:hAnsi="宋体" w:eastAsia="宋体" w:cs="宋体"/>
          <w:sz w:val="32"/>
          <w:szCs w:val="32"/>
        </w:rPr>
        <w:t>Ⅲ</w:t>
      </w:r>
      <w:r>
        <w:rPr>
          <w:rFonts w:ascii="Times New Roman" w:hAnsi="Times New Roman" w:eastAsia="仿宋_GB2312"/>
          <w:sz w:val="32"/>
          <w:szCs w:val="32"/>
        </w:rPr>
        <w:t>级，黄色）预警，由设区市级突发公共卫生事件应急指挥领导小组请示省突发公共卫生事件应急指挥中心后由市长签发；</w:t>
      </w:r>
    </w:p>
    <w:p w14:paraId="702DAA91">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一般（</w:t>
      </w:r>
      <w:r>
        <w:rPr>
          <w:rFonts w:hint="eastAsia" w:ascii="宋体" w:hAnsi="宋体" w:eastAsia="宋体" w:cs="宋体"/>
          <w:sz w:val="32"/>
          <w:szCs w:val="32"/>
        </w:rPr>
        <w:t>Ⅳ</w:t>
      </w:r>
      <w:r>
        <w:rPr>
          <w:rFonts w:ascii="Times New Roman" w:hAnsi="Times New Roman" w:eastAsia="仿宋_GB2312"/>
          <w:sz w:val="32"/>
          <w:szCs w:val="32"/>
        </w:rPr>
        <w:t>级，蓝色）预警，由区突发公共卫生事件应急指挥领导小组请示省、市突发公共卫生事件应急指挥机构后由区管委会主任签发。</w:t>
      </w:r>
    </w:p>
    <w:p w14:paraId="653C157B">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5  应急响应</w:t>
      </w:r>
    </w:p>
    <w:p w14:paraId="5E4E3A8C">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5.1  应急响应原则</w:t>
      </w:r>
    </w:p>
    <w:p w14:paraId="0CDD8B27">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发生突发公共卫生事件时，区管委会及其有关部门和事发地的街道办事处按照分级响应的原则，作出相应级别应急反应。同时，要遵循突发公共卫生事件发生发展的客观规律，结合实际情况和预防控制工作的需要，及时调整预警和响应级别，以有效控制事件，减少危害和影响。要根据不同类别突发公共卫生事件的性质和特点，注重分析事件的发展趋势，对事态和影响不断扩大的事件，应及时升级预警和响应级别；对范围局限、不会进一步扩散的事件，应相应降低响应级别，及时撤销预警。</w:t>
      </w:r>
    </w:p>
    <w:p w14:paraId="287975BD">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区管委会、各街道办事处、有关部门对在学校、区域性或全国性重要活动期间等发生的突发公共卫生事件，要高度重视，可相应提高报告和响应级别，确保迅速、有效控制突发公共卫生事件，维护社会稳定。</w:t>
      </w:r>
    </w:p>
    <w:p w14:paraId="7E93798D">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突发公共卫生事件应急处理要采取边调查、边处理、边抢救、边核实的方式，以有效措施控制事态发展。</w:t>
      </w:r>
    </w:p>
    <w:p w14:paraId="392AD1B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事发地之外的街道办事处接到突发公共卫生事件情况通报后，要组织做好应急处理所需的人员与物资准备，采取必要的预防控制措施，防止突发公共卫生事件在本行政区域内发生，并服从区管委会的统一指挥和调度，支援突发公共卫生事件发生地区的应急处理工作。</w:t>
      </w:r>
    </w:p>
    <w:p w14:paraId="390F5A6D">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5.2  应急响应措施</w:t>
      </w:r>
    </w:p>
    <w:p w14:paraId="14E4050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5.2.1  区管委会</w:t>
      </w:r>
    </w:p>
    <w:p w14:paraId="6674691D">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（１）组织协调有关部门参与突发公共卫生事件的应急处置。</w:t>
      </w:r>
    </w:p>
    <w:p w14:paraId="39D88117">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２）根据突发公共卫生事件应急处置的需要，调集本行政区域内各类人员、物资、交通工具和相关设施、设备参加应急处置工作。涉及危险化学品管理和运输安全的，有关部门要严格执行相关规定，防止事故发生。</w:t>
      </w:r>
    </w:p>
    <w:p w14:paraId="43F64D56">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３）划定控制区域。甲类、乙类传染病暴发、流行时，区管委会报经市政府决定，可以宣布疫区范围；经省政府决定，可以对甲类传染病疫区实施封锁；其中封锁主城区的疫区或者跨省、市的疫区，以及封锁疫区导致中断干线交通的，由省政府报国务院决定。对重大职业中毒事故，根据职业危害因素波及范围，划定控制区域。</w:t>
      </w:r>
    </w:p>
    <w:p w14:paraId="70EDA674">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４）疫情控制措施。区管委会根据突发公共卫生事件事态发展可以在本行政区域内采取限制或者停止集市、集会、影剧院演出，以及其他人群聚集的活动；停工、停业、停课；封闭或者封存被传染病病原体污染的公共饮用水源、食品以及相关物品等紧急措施；临时征用房屋、交通工具以及相关设施和设备。</w:t>
      </w:r>
    </w:p>
    <w:p w14:paraId="2F9826D7">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（５）流动人口管理。对流动人口采取预防工作，落实控制措施，对传染病病人。疑似传染病病人采取就地隔离、就地观察、就地治疗的措施，对密切接触者根据情况采取集中或居家医学观察。</w:t>
      </w:r>
    </w:p>
    <w:p w14:paraId="1EB58569">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６）实施交通卫生检疫。组织铁路、交通、海关等部门在交通站点和出入境口岸设置临时交通卫生检疫站，对出入境、进出疫区和运行中的交通工具及其乘运人员和物资、宿主动物进行检疫查验，对传染病病人、疑似传染病病人及其密切接触者实施临时隔离、留验和向地方卫生健康行政部门指定的机构移交。</w:t>
      </w:r>
    </w:p>
    <w:p w14:paraId="38552FF2">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（７）信息发布。突发公共卫生事件发生后，宣传部门要按照有关规定做好信息发布工作。信息发布要及时主动，准确把握，实事求是，正确引导舆论，注重社会效果。</w:t>
      </w:r>
    </w:p>
    <w:p w14:paraId="63AC0759">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（８）开展群防群控。街道以及居委会、村委会要协助区社会事业局和其他部门、医疗卫生机构，做好疫情信息的收集、报告、人员分散隔离以及公共卫生措施的实施工作。</w:t>
      </w:r>
    </w:p>
    <w:p w14:paraId="7469D7FB">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（９）维护社会稳定。区经济发展局、区公安分局、区综合行政执法局等部门保障商品供应，平抑物价，防止哄抢；严厉打击造谣传谣、哄抬物价、囤积居奇、制假售假等违法犯罪和扰乱社会治安的行为。</w:t>
      </w:r>
    </w:p>
    <w:p w14:paraId="17000F41">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5.2.2 区社会事业局</w:t>
      </w:r>
    </w:p>
    <w:p w14:paraId="64AABCDC">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（１）组织医疗机构、疾病预防控制机构和卫生监督机构开展突发公共卫生事件的调查与处置。</w:t>
      </w:r>
    </w:p>
    <w:p w14:paraId="2B6A7E63">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（２）组织突发公共卫生事件应急处置专家咨询委员会对突发公共卫生事件进行评估，提出启动突发公共卫生事件应急处置的级别。</w:t>
      </w:r>
    </w:p>
    <w:p w14:paraId="46D315C6">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（３）根据需要组织开展应急疫苗接种、预防性用药等应急控制工作。</w:t>
      </w:r>
    </w:p>
    <w:p w14:paraId="2D7BA789">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（４）组织对本行政区域内的突发公共卫生事件应急处置工作进行督导和检查。</w:t>
      </w:r>
    </w:p>
    <w:p w14:paraId="0CCFF5A0">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（５）及时向开发区各有关部门以及毗邻和可能波及的其他县区卫生健康行政部门通报突发公共卫生事件情况。对涉及跨市的疫情线索，由区社会事业局上报市卫生健康委。</w:t>
      </w:r>
    </w:p>
    <w:p w14:paraId="5222A07A">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（６）针对新发现的突发传染病、不明原因的群体性疾病、重大职业中毒事件等，组织力量及时开展相应的培训工作。</w:t>
      </w:r>
    </w:p>
    <w:p w14:paraId="0AFE9358">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（７）根据事件性质有针对性地开展卫生知识宣教，提高公众健康意识和自我防护能力，消除公众心理障碍，开展心理危机干预工作。</w:t>
      </w:r>
    </w:p>
    <w:p w14:paraId="1CDC5F52">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（８）组织专家对突发公共卫生事件的应急处置情况进行综合评估，包括事件概况、现场调查处置概况、病人救治情况、所采取的措施及效果评价等。</w:t>
      </w:r>
    </w:p>
    <w:p w14:paraId="5B015E50">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5.2.3  医疗机构</w:t>
      </w:r>
    </w:p>
    <w:p w14:paraId="60966698">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（１）开展病人接诊、收治和转运工作，实行重症和普通病人分开管理，对疑似病人及时排除或确诊。</w:t>
      </w:r>
    </w:p>
    <w:p w14:paraId="523F169E">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（２）协助疾病预防控制机构开展标本的采集、流行病学调查工作。</w:t>
      </w:r>
    </w:p>
    <w:p w14:paraId="4666C9E4">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（３）做好医院内现场控制、消毒隔离、个人防护、医疗垃圾和污水处理工作，防止院内交叉感染和污染。</w:t>
      </w:r>
    </w:p>
    <w:p w14:paraId="752258E8">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（４）做好传染病病人和中毒病人的报告。对因突发公共卫生事件而引起身体伤害的病人，任何医疗机构不得拒绝接诊。</w:t>
      </w:r>
    </w:p>
    <w:p w14:paraId="50E6517A">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（５）做好群体性不明原因疾病和新发传染病病例分析与总结，积累诊断治疗的经验。重大职业中毒事件按照现场救援、病人转运、后续治疗相结合的原则进行处置。</w:t>
      </w:r>
    </w:p>
    <w:p w14:paraId="183E9311">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（６）做好突发公共卫生事件相关的诊断试剂、药品、防护用品等方面的供应，开展国内外交流合作。</w:t>
      </w:r>
    </w:p>
    <w:p w14:paraId="29CC0143">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5.2.4  区疾病预防控制中心</w:t>
      </w:r>
    </w:p>
    <w:p w14:paraId="15129C7C">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（１）开展突发公共卫生事件及相关信息收集、监测预警、风险评估等工作。</w:t>
      </w:r>
    </w:p>
    <w:p w14:paraId="0585EF72">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（２）负责流行病学调查、相关检验检测、卫生处置等工作，并及时向事件涉及单位通报情况。</w:t>
      </w:r>
    </w:p>
    <w:p w14:paraId="607B013D">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（３）提出并实施有针对性的预防控制措施，提供技术指导和技术支持。</w:t>
      </w:r>
    </w:p>
    <w:p w14:paraId="1CC2C407">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（４）做好与突发公共卫生事件相关的诊断试剂、消毒、医疗卫生防护用品等方面的设备、材料采购，开展国内外交流与合作。</w:t>
      </w:r>
    </w:p>
    <w:p w14:paraId="4B8627B8">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（５）负责协助区社会事业局落实突发公共卫生事件应急相关的技术标准和规范。</w:t>
      </w:r>
    </w:p>
    <w:p w14:paraId="6A6D836B">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（６）具体负责辖区突发公共卫生事件应急处置专业技术人员的培训。</w:t>
      </w:r>
    </w:p>
    <w:p w14:paraId="1CDF033D">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5.2.5  区卫生监督所</w:t>
      </w:r>
    </w:p>
    <w:p w14:paraId="1AB45679">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（１）在区社会事业局领导下，开展对医疗机构、疾病预防控制机构突发公共卫生事件应急处置各项措施落实情况的督导、检查。</w:t>
      </w:r>
    </w:p>
    <w:p w14:paraId="445129D4">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（２）围绕突发公共卫生事件应急处置工作，开展卫生监督和执法稽查。</w:t>
      </w:r>
    </w:p>
    <w:p w14:paraId="006CD178">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（３）依据有关法律法规，协助区社会事业局调查处置突发公共卫生事件应急工作中的违法行为。</w:t>
      </w:r>
    </w:p>
    <w:p w14:paraId="1D051869">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5.2.6  海关</w:t>
      </w:r>
    </w:p>
    <w:p w14:paraId="685A16DB">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（１）突发公共卫生事件发生时，调动海关技术力量，配合区社会事业局做好口岸的应急处置工作。</w:t>
      </w:r>
    </w:p>
    <w:p w14:paraId="0BF19172">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（２）及时上报口岸突发公共卫生事件信息和情况变化．</w:t>
      </w:r>
    </w:p>
    <w:p w14:paraId="49E0F456">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5.2.7  非事件发生地的应急响应措施</w:t>
      </w:r>
    </w:p>
    <w:p w14:paraId="65F73F6D">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未发生突发公共卫生事件的地区应根据事发地发生突发公共卫生事件的性质、特点、发生区域和发展趋势，分析本地区受波及的可能性和程度，重点做好以下工作：</w:t>
      </w:r>
    </w:p>
    <w:p w14:paraId="52D26F4F">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（１）密切保持与事件发生地区的联系，及时获取相关信息。</w:t>
      </w:r>
    </w:p>
    <w:p w14:paraId="2A9414A8">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（２）组织做好本区域应急处置所需的人员与物资准备。</w:t>
      </w:r>
    </w:p>
    <w:p w14:paraId="2FCDE08F">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（３）加强相关疾病与健康监测和报告工作，必要时建立专门报告制度。</w:t>
      </w:r>
    </w:p>
    <w:p w14:paraId="4382360B">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（４）开展重点人群、重点场所和重点环节的监测和预防控制工作，防患于未然。</w:t>
      </w:r>
    </w:p>
    <w:p w14:paraId="562BF611">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（５）开展防治知识宣传和健康教育，提高公众自我保护意识和能力。</w:t>
      </w:r>
    </w:p>
    <w:p w14:paraId="3CA630F9">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（６）根据区管委会的决定，开展交通卫生检疫等。</w:t>
      </w:r>
    </w:p>
    <w:p w14:paraId="383D047C">
      <w:pPr>
        <w:spacing w:line="560" w:lineRule="exact"/>
        <w:ind w:firstLine="640" w:firstLineChars="200"/>
        <w:rPr>
          <w:rFonts w:ascii="Times New Roman" w:hAnsi="Times New Roman" w:eastAsia="楷体_GB2312"/>
          <w:bCs/>
          <w:sz w:val="32"/>
          <w:szCs w:val="32"/>
        </w:rPr>
      </w:pPr>
      <w:r>
        <w:rPr>
          <w:rFonts w:ascii="Times New Roman" w:hAnsi="Times New Roman" w:eastAsia="楷体_GB2312"/>
          <w:bCs/>
          <w:sz w:val="32"/>
          <w:szCs w:val="32"/>
        </w:rPr>
        <w:t>5.3  分级响应</w:t>
      </w:r>
    </w:p>
    <w:p w14:paraId="7DDAF799">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在我区范围内，发生一般突发公共卫生事件，由区应急指挥领导小组负责及时、果断处置，在市卫生健康委指导下，同时必须及时向市政府作出报告。发生较大、重大、特别重大突发公共卫生事件，及时上报市政府，区应急指挥领导小组在省、市突发公共卫生事件应急指挥机构的统一领导和指挥下，结合我区实际情况，组织协调辖区内突发公共卫生事件的各项应急处置工作。</w:t>
      </w:r>
    </w:p>
    <w:p w14:paraId="4A78DB55">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5.3.1  一般突发公共卫生事件（</w:t>
      </w:r>
      <w:r>
        <w:rPr>
          <w:rFonts w:hint="eastAsia" w:ascii="宋体" w:hAnsi="宋体" w:eastAsia="宋体" w:cs="宋体"/>
          <w:sz w:val="32"/>
          <w:szCs w:val="32"/>
        </w:rPr>
        <w:t>Ⅳ</w:t>
      </w:r>
      <w:r>
        <w:rPr>
          <w:rFonts w:ascii="Times New Roman" w:hAnsi="Times New Roman" w:eastAsia="仿宋_GB2312"/>
          <w:sz w:val="32"/>
          <w:szCs w:val="32"/>
        </w:rPr>
        <w:t>级）的应急响应</w:t>
      </w:r>
    </w:p>
    <w:p w14:paraId="446CC65F">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一般突发公共卫生事件发生后，区管委会根据区社会事业局的建议和实际工作需要，决定启动区突发公共卫生事件应急指挥机构，负责组织有关部门开展突发公共卫生事件的应急处置工作。超出本级应急处置能力时，要及时报请市政府和有关部门提供指导和支持。当一般突发公共卫生事件发生后，区管委会、各街道办事处、有关部门应采取以下应急措施。</w:t>
      </w:r>
    </w:p>
    <w:p w14:paraId="66D64144">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（1）区管委会和事件发生地街道办事处的应急响应</w:t>
      </w:r>
    </w:p>
    <w:p w14:paraId="5C9ED3A2">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区管委会和事件发生地街道办事处立即启动突发公共卫生事件应急预案，成立突发公共卫生事件应急处理指挥部，统一领导和指挥突发公共卫生事件应急处理工作。</w:t>
      </w:r>
    </w:p>
    <w:p w14:paraId="4E9FE41E">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②</w:t>
      </w:r>
      <w:r>
        <w:rPr>
          <w:rFonts w:ascii="Times New Roman" w:hAnsi="Times New Roman" w:eastAsia="仿宋_GB2312"/>
          <w:sz w:val="32"/>
          <w:szCs w:val="32"/>
        </w:rPr>
        <w:t>紧急调集和征集有关人员、物资、交通工具以及相关设施、设备；进行现场隔离、疫区的确定与封锁；启动应急贮备基金和物资；保证突发公共卫生事件应急处理所需的医疗救治和防护设备、药品、医疗器械等物资的生产和供应；组织相关部门开展突发公共卫生事件应急处理工作；做好生产、生活和新闻宣传等工作。</w:t>
      </w:r>
    </w:p>
    <w:p w14:paraId="49A73A7F">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（2）区社会事业局和事件发生地卫生应急处理机构的应急响应</w:t>
      </w:r>
    </w:p>
    <w:p w14:paraId="488DAD56">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迅速组织疾病预防控制、卫生监督、医疗等有关专业机构到达突发公共卫生事件现场，开展技术调查、取证，初步判定事故类别、性质，提出现场处置方案，并将调查情况向区管委会和所在地街道办事处报告。</w:t>
      </w:r>
    </w:p>
    <w:p w14:paraId="1F85E4C0">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②</w:t>
      </w:r>
      <w:r>
        <w:rPr>
          <w:rFonts w:ascii="Times New Roman" w:hAnsi="Times New Roman" w:eastAsia="仿宋_GB2312"/>
          <w:sz w:val="32"/>
          <w:szCs w:val="32"/>
        </w:rPr>
        <w:t>组派医疗救治专业队伍赶赴突发公共卫生事件发生地开展应急救治工作，超出救治能力的，立即转运上级医院。</w:t>
      </w:r>
    </w:p>
    <w:p w14:paraId="1617ABA1">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③</w:t>
      </w:r>
      <w:r>
        <w:rPr>
          <w:rFonts w:ascii="Times New Roman" w:hAnsi="Times New Roman" w:eastAsia="仿宋_GB2312"/>
          <w:sz w:val="32"/>
          <w:szCs w:val="32"/>
        </w:rPr>
        <w:t>统一指挥调度辖区内的医疗卫生资源全力投入应急处理工作。组织实施突发公共卫生事件应急处理技术方案，采取控制传染源、疫点疫区消毒、开展预防接种、健康宣教等针对性的控制措施。</w:t>
      </w:r>
    </w:p>
    <w:p w14:paraId="71F3FACF">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④</w:t>
      </w:r>
      <w:r>
        <w:rPr>
          <w:rFonts w:ascii="Times New Roman" w:hAnsi="Times New Roman" w:eastAsia="仿宋_GB2312"/>
          <w:sz w:val="32"/>
          <w:szCs w:val="32"/>
        </w:rPr>
        <w:t>及时向区管委会和市卫生健康委报告突发公共卫生事件有关情况，在突发公共卫生事件对公众健康影响消除后，及时解除相关应急控制措施，对控制效果进行评估。</w:t>
      </w:r>
    </w:p>
    <w:p w14:paraId="04C30AC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（3）有关部门的应急响应</w:t>
      </w:r>
    </w:p>
    <w:p w14:paraId="3DB69763">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区管委会和事件发生地街道办事处各有关部门根据本级指令，决定是否启动本部门、本系统应急预案，在本级应急指挥部的领导下，履行相关职能。</w:t>
      </w:r>
    </w:p>
    <w:p w14:paraId="33D7C25E">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（4）未发生突发公共卫生事件街道办事处的应急响应</w:t>
      </w:r>
    </w:p>
    <w:p w14:paraId="446907D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未发生突发公共卫生事件的街道办事处，要服从区应急指挥部的调度，支援突发公共卫生事件发生地的应急处理工作。同时，采取必要的预防控制措施，防止突发公共卫生事件在本辖区内发生。</w:t>
      </w:r>
    </w:p>
    <w:p w14:paraId="3F2A8A79">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5.3.2  特别重大、重大和较大突发公共卫生事件应急响应</w:t>
      </w:r>
    </w:p>
    <w:p w14:paraId="7707BC4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（1）确认特别重大、重大和较大突发公共卫生事件后，区管委会、各街道办事处、有关部门应在市应急指挥部的统一领导和指挥下，开展应急处理工作。</w:t>
      </w:r>
    </w:p>
    <w:p w14:paraId="10C3F6E9">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（2）如为非事件发生地，要在市应急指挥部领导下，积极做好预防控制工作，并服从市应急指挥部的统一调遣，支援突发公共卫生事件发生地的应急处理工作。重点做好以下工作：</w:t>
      </w:r>
    </w:p>
    <w:p w14:paraId="45A083E6">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密切保持与事件发生地区的联系，及时获取相关信息。</w:t>
      </w:r>
    </w:p>
    <w:p w14:paraId="3B233525">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②</w:t>
      </w:r>
      <w:r>
        <w:rPr>
          <w:rFonts w:ascii="Times New Roman" w:hAnsi="Times New Roman" w:eastAsia="仿宋_GB2312"/>
          <w:sz w:val="32"/>
          <w:szCs w:val="32"/>
        </w:rPr>
        <w:t>组织做好本辖区应急处理所需的人员与物资准备。</w:t>
      </w:r>
    </w:p>
    <w:p w14:paraId="3EA7DFD4">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③</w:t>
      </w:r>
      <w:r>
        <w:rPr>
          <w:rFonts w:ascii="Times New Roman" w:hAnsi="Times New Roman" w:eastAsia="仿宋_GB2312"/>
          <w:sz w:val="32"/>
          <w:szCs w:val="32"/>
        </w:rPr>
        <w:t>加强相关疾病监测和报告工作，必要时，建立专门报告制度。</w:t>
      </w:r>
    </w:p>
    <w:p w14:paraId="00905D93">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④</w:t>
      </w:r>
      <w:r>
        <w:rPr>
          <w:rFonts w:ascii="Times New Roman" w:hAnsi="Times New Roman" w:eastAsia="仿宋_GB2312"/>
          <w:sz w:val="32"/>
          <w:szCs w:val="32"/>
        </w:rPr>
        <w:t>开展重点人群、重点场所和重点环节的监测和预防控制工作，防患于未然。</w:t>
      </w:r>
    </w:p>
    <w:p w14:paraId="40C43A64">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⑤</w:t>
      </w:r>
      <w:r>
        <w:rPr>
          <w:rFonts w:ascii="Times New Roman" w:hAnsi="Times New Roman" w:eastAsia="仿宋_GB2312"/>
          <w:sz w:val="32"/>
          <w:szCs w:val="32"/>
        </w:rPr>
        <w:t>开展防治知识宣传和健康教育，提高公众自我保护意识和能力。</w:t>
      </w:r>
    </w:p>
    <w:p w14:paraId="14502F24">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⑥</w:t>
      </w:r>
      <w:r>
        <w:rPr>
          <w:rFonts w:ascii="Times New Roman" w:hAnsi="Times New Roman" w:eastAsia="仿宋_GB2312"/>
          <w:sz w:val="32"/>
          <w:szCs w:val="32"/>
        </w:rPr>
        <w:t>根据市政府及市卫生健康委的决定，开展交通卫生检疫等。</w:t>
      </w:r>
    </w:p>
    <w:p w14:paraId="190F40C0">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5.3.3  次生、衍生和耦合事件的应急处置</w:t>
      </w:r>
    </w:p>
    <w:p w14:paraId="2217A30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发生后，可能导致次生、衍生或耦合事件的发生。各类治安事件和刑事案件，由区公安分局及时掌握分析突发公共卫生事件发生地的治安动态，有针对性采取预防措施，依法打击违法犯罪活动；由区公安分局会同有关部门依法、及时、妥善处置与疫情有关的突发事件和公众恐慌所致抢购商品、群体性上访等社会安全事件，由区综合行政执法局、区公安分局、区组织宣传部等部门及时开展公众宣传教育活动，广泛开展健康教育活动，进行耐心说服、疏导工作，稳定人心。</w:t>
      </w:r>
    </w:p>
    <w:p w14:paraId="7A10B2C5">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5.4  应急结束</w:t>
      </w:r>
    </w:p>
    <w:p w14:paraId="4C24A82A">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突发公共卫生事件应急响应的终止需符合以下条件：突发公共卫生事件隐患或相关危险因素消除，或末例传染病病例发生后经过最长潜伏期无新发病例出现。</w:t>
      </w:r>
    </w:p>
    <w:p w14:paraId="1CD81163">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特别重大突发公共卫生事件（</w:t>
      </w:r>
      <w:r>
        <w:rPr>
          <w:rFonts w:hint="eastAsia" w:ascii="宋体" w:hAnsi="宋体" w:eastAsia="宋体" w:cs="宋体"/>
          <w:sz w:val="32"/>
          <w:szCs w:val="32"/>
        </w:rPr>
        <w:t>Ⅰ</w:t>
      </w:r>
      <w:r>
        <w:rPr>
          <w:rFonts w:ascii="Times New Roman" w:hAnsi="Times New Roman" w:eastAsia="仿宋_GB2312"/>
          <w:sz w:val="32"/>
          <w:szCs w:val="32"/>
        </w:rPr>
        <w:t>级）由国家或省卫生健康委组织专家进行分析论证，提出终止应急响应的建议，按规定程序报批后实施。</w:t>
      </w:r>
    </w:p>
    <w:p w14:paraId="0476C39B">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重大突发公共卫生事件（</w:t>
      </w:r>
      <w:r>
        <w:rPr>
          <w:rFonts w:hint="eastAsia" w:ascii="宋体" w:hAnsi="宋体" w:eastAsia="宋体" w:cs="宋体"/>
          <w:sz w:val="32"/>
          <w:szCs w:val="32"/>
        </w:rPr>
        <w:t>Ⅱ</w:t>
      </w:r>
      <w:r>
        <w:rPr>
          <w:rFonts w:ascii="Times New Roman" w:hAnsi="Times New Roman" w:eastAsia="仿宋_GB2312"/>
          <w:sz w:val="32"/>
          <w:szCs w:val="32"/>
        </w:rPr>
        <w:t>级）由省卫生健康委组织专家进行分析论证，提出终止应急响应的建议，报省突发公共卫生事件应急指挥中心批准后实施，并向国务院卫生健康行政部门报告。</w:t>
      </w:r>
    </w:p>
    <w:p w14:paraId="5AC246AC">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较大突发公共卫生事件（</w:t>
      </w:r>
      <w:r>
        <w:rPr>
          <w:rFonts w:hint="eastAsia" w:ascii="宋体" w:hAnsi="宋体" w:eastAsia="宋体" w:cs="宋体"/>
          <w:sz w:val="32"/>
          <w:szCs w:val="32"/>
        </w:rPr>
        <w:t>Ⅲ</w:t>
      </w:r>
      <w:r>
        <w:rPr>
          <w:rFonts w:ascii="Times New Roman" w:hAnsi="Times New Roman" w:eastAsia="仿宋_GB2312"/>
          <w:sz w:val="32"/>
          <w:szCs w:val="32"/>
        </w:rPr>
        <w:t>级）由市卫生健康委组织专家进行分析论证，提出终止应急响应的建议，报市政府或市应急指挥领导小组批准后实施，并向省卫生健康委报告。</w:t>
      </w:r>
    </w:p>
    <w:p w14:paraId="6FE6541A">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一般突发公共卫生事件（</w:t>
      </w:r>
      <w:r>
        <w:rPr>
          <w:rFonts w:hint="eastAsia" w:ascii="宋体" w:hAnsi="宋体" w:eastAsia="宋体" w:cs="宋体"/>
          <w:sz w:val="32"/>
          <w:szCs w:val="32"/>
        </w:rPr>
        <w:t>Ⅳ</w:t>
      </w:r>
      <w:r>
        <w:rPr>
          <w:rFonts w:ascii="Times New Roman" w:hAnsi="Times New Roman" w:eastAsia="仿宋_GB2312"/>
          <w:sz w:val="32"/>
          <w:szCs w:val="32"/>
        </w:rPr>
        <w:t>级）由区社会事业局组织专家进行分析论证，提出终止应急响应的建议，报区管委会批准后实施，并向市卫生健康委报告。</w:t>
      </w:r>
    </w:p>
    <w:p w14:paraId="536A4DBA">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6  后期处置</w:t>
      </w:r>
    </w:p>
    <w:p w14:paraId="3A8C64BD">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6.1  善后处置</w:t>
      </w:r>
    </w:p>
    <w:p w14:paraId="0877DFE9">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发生后，区管委会及有关部门应当迅速采取措施，救济救助受灾人员，恢复正常的经济社会秩序。联合市有关部门组成善后处置工作小组，做好受灾人员的安置工作，确保基本生活保障，做好现场污染物收集、清理与处置工作。</w:t>
      </w:r>
    </w:p>
    <w:p w14:paraId="120634D3">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6.2  社会救助</w:t>
      </w:r>
    </w:p>
    <w:p w14:paraId="352593D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根据突发公共卫生事件应急处置工作需要，组织动员社会各界开展捐赠活动。</w:t>
      </w:r>
    </w:p>
    <w:p w14:paraId="1ABEA1E1">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6.3  后期评估</w:t>
      </w:r>
    </w:p>
    <w:p w14:paraId="581B9C9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应急响应终止后，区社会事业局应在区管委会的领导下，组织有关人员对突发公共卫生事件的应急处置情况进行评估。评估内容主要包括事件概况、现场调查处理概况、病人救治情况、所采取措施的效果评价、应急处置过程中存在的问题、取得的经验及改进建议。评估报告上报区管委会和市卫生健康委。</w:t>
      </w:r>
    </w:p>
    <w:p w14:paraId="1E96D820">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6.4  抚恤、补助和补偿</w:t>
      </w:r>
    </w:p>
    <w:p w14:paraId="4F1E6871">
      <w:pPr>
        <w:spacing w:line="560" w:lineRule="exact"/>
        <w:ind w:firstLine="640" w:firstLineChars="200"/>
        <w:rPr>
          <w:rFonts w:ascii="Times New Roman" w:hAnsi="Times New Roman" w:eastAsia="楷体_GB2312"/>
          <w:sz w:val="32"/>
          <w:szCs w:val="32"/>
        </w:rPr>
      </w:pPr>
      <w:r>
        <w:rPr>
          <w:rFonts w:ascii="Times New Roman" w:hAnsi="Times New Roman" w:eastAsia="仿宋_GB2312"/>
          <w:sz w:val="32"/>
          <w:szCs w:val="32"/>
        </w:rPr>
        <w:t>区管委会要组织有关部门对因参与应急处理工作致病、致残、死亡的人员，按照国家、省、市有关规定，给予相应的补助和抚恤。</w:t>
      </w:r>
    </w:p>
    <w:p w14:paraId="1C8D4C5E">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突发公共卫生事件应急工作结束后，区管委会要组织有关部门对应急处理期间紧急调集、征用有关单位及个人的物资和劳务进行合理评估，及时给予补偿。</w:t>
      </w:r>
    </w:p>
    <w:p w14:paraId="7092D629">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7  保障措施</w:t>
      </w:r>
    </w:p>
    <w:p w14:paraId="3985AD07">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7.1  技术保障</w:t>
      </w:r>
    </w:p>
    <w:p w14:paraId="36E775A9">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7.1.1  信息系统</w:t>
      </w:r>
    </w:p>
    <w:p w14:paraId="7DC7984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建立覆盖全区卫生健康行政部门、疾病预防控制机构、卫生监督机构、医院、社区卫生服务中心的突发公共卫生事件信息系统，承担突发公共卫生事件及相关信息收集、处理、分析、发布和信息传递等工作。信息系统是由网络传输系统、软件系统、数据库系统及相关技术机构组成的网络系统，采取“一体建设、分级管理”的方式进行建设。区社会事业局负责全区的信息系统管理应用。在充分利用现有资源的基础上，努力建设突发公共卫生应急信息网络，实现卫生健康行政部门、医疗救治机构与疾病预防控制机构之间的信息共享。</w:t>
      </w:r>
    </w:p>
    <w:p w14:paraId="6D5718BD">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7.1.2  疾病预防控制体系</w:t>
      </w:r>
    </w:p>
    <w:p w14:paraId="3071827F">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建立统一的疾病预防控制体系。要加快区疾病预防控制中心和基层预防保健组织建设，强化医疗卫生机构疾病预防控制的责任；建立功能完善、反应迅速、运转协调的突发公共卫生事件应急机制；健全覆盖城乡、灵敏高效、快速畅通的疫情信息网络；改善区疾病预防控制中心基础设施和实验室设备条件；加强疾病预防控制专业队伍建设，提高流行病学调查、现场处置和实验室检测检验能力。</w:t>
      </w:r>
    </w:p>
    <w:p w14:paraId="6AD85029">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7.1.3  应急医疗救治体系</w:t>
      </w:r>
    </w:p>
    <w:p w14:paraId="59F52D97">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按照“统筹兼顾、平战结合、因地制宜、合理布局”的原则，逐步建成符合区情、覆盖城乡、功能完善、反应灵敏、运转协调持续发展的医疗救治体系。</w:t>
      </w:r>
    </w:p>
    <w:p w14:paraId="04CFA0F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（１）急救医疗机构。在市第一人民医院开发区院区（暂定名称）设立急救医疗分站。</w:t>
      </w:r>
    </w:p>
    <w:p w14:paraId="664FC81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（２）传染病救治机构。依托市第一人民医院开发区院区（暂定名称）设立传染病救治区。</w:t>
      </w:r>
    </w:p>
    <w:p w14:paraId="69280867">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7.1.4  卫生监督执法体系</w:t>
      </w:r>
    </w:p>
    <w:p w14:paraId="4F9537CA">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建立统一的卫生健康执法监督体系。区社会事业局应明确职能，落实责任，规范监督执法行为，加强卫生健康执法监督队伍建设。对卫生健康执法监督人员实行资格准入制度和在岗培训制度，全面提高卫生健康执法监督的能力和水平。</w:t>
      </w:r>
    </w:p>
    <w:p w14:paraId="4C70A15C">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7.1.5  卫生应急处置队伍</w:t>
      </w:r>
    </w:p>
    <w:p w14:paraId="5663F49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１）卫生应急处置队伍的组建。区社会事业局根据不同类型突发公共卫生事件应急的需要，分别组建相应的卫生应急处置队伍，主要包括传染病、食物中毒、群体性不明原因疾病、核事故和突发放射事件、职业中毒和化学污染中毒等卫生应急处置队伍，区级应急队伍不少于２支，总人数50人左右。</w:t>
      </w:r>
    </w:p>
    <w:p w14:paraId="542C05EE">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卫生应急处置队伍根据其应对事件类型，在疾病预防控制机构、医疗机构、卫生监督机构以及有关单位，选择年富力强，具有实际工作能力和发展潜力的现场流行病学、实验室检测、微生物学、临床救治、信息网络等专业人员组成。</w:t>
      </w:r>
    </w:p>
    <w:p w14:paraId="3AA238A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２）卫生应急处置队伍的管理与培训。区社会事业局建立卫生应急处置队伍资料库，对卫生应急处置队伍实行信息化管理；根据突发公共卫生事件应急处置情况，对队伍及时进行调整，定期开展培训和演练，努力提高应急救治能力。区社会事业局负责组织对本级卫生应急处置队伍进行培训。</w:t>
      </w:r>
    </w:p>
    <w:p w14:paraId="68A56815">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7.1.6  培训与演练</w:t>
      </w:r>
    </w:p>
    <w:p w14:paraId="5F9DDC77">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社会事业局应加强对突发公共卫生事件预警应急管理的负责人及其工作人员、卫生应急处置队伍等应急专业技术人员的业务培训，提高应急处置能力；在医疗卫生机构开展全员培训，提高医务卫生人员突发公共卫生事件的发现、应急处置能力。</w:t>
      </w:r>
    </w:p>
    <w:p w14:paraId="333D53CB">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区社会事业局要按照“统一规划、分类实施、分级负责、突出重点、适应需求”的原则，采取定期和不定期相结合的形式，组织开展突发公共卫生事件的应急演练，演练需要公众参与的，必须报区管委会同意。</w:t>
      </w:r>
    </w:p>
    <w:p w14:paraId="29C16BF2">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7.2  通信与交通保障</w:t>
      </w:r>
    </w:p>
    <w:p w14:paraId="2F6B0C73">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区突发公共卫生事件卫生应急处置队伍要根据实际工作需要，配备通信设备和交通工具。通信部门保障公众通信网畅通可控。</w:t>
      </w:r>
    </w:p>
    <w:p w14:paraId="3289151D">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7.3  物资保障</w:t>
      </w:r>
    </w:p>
    <w:p w14:paraId="5785CB78">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建立健全区突发公共卫生事件应急物资储备管理制度，增强调控能力，建立应急物资储备制度，储备应急所需物资。物资储备种类包括：药品、疫苗、医疗卫生设备和器材、快速检验检测技术和试剂、传染源隔离及卫生防护的用品和应急设施等。区社会事业局、区经济发展局、区财政局要加强沟通、协调配合，建立处置突发公共卫生事件的物资储备和生产能力储备。区社会事业局提出卫生应急物资储备计划，区经济发展局负责组织、落实物资储备，在保证一定数量必需应急物资储备的基础上，实施由实物储备向生产能力储备转化，通过建立应急生产启动运行机制，实现应急物资动态储备；加强对储备物资的管理，防止储备物资被盗用、挪用、流散和失效。发生突发公共卫生事件时，由区应急指挥领导小组组织协调应急储备物资的调用，各相关职能部门负责实施。应急储备物资使用后要及时予以补充。</w:t>
      </w:r>
    </w:p>
    <w:p w14:paraId="26F7A521">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7.4  资金保障</w:t>
      </w:r>
    </w:p>
    <w:p w14:paraId="2EB9392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区财政局按规定落实对突发公共卫生事件应急处置专业技术机构的财政补助政策和突发公共卫生事件应急处置经费。区管委会应积极通过多渠道筹集资金，用于突发公共卫生事件应急处置工作。</w:t>
      </w:r>
    </w:p>
    <w:p w14:paraId="40689C77">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7.5  宣传教育</w:t>
      </w:r>
    </w:p>
    <w:p w14:paraId="1C30486B">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管委会、各街道办事处要组织有关部门利用广播、影视、报刊、互联网、手册等多种形式对社会公众广泛开展突发公共卫生事件应急知识的普及教育，宣传卫生科普知识，指导群众以科学的行为和方式对待突发公共卫生事件。要充分发挥有关社会团体在普及卫生应急知识和卫生科普知识方面的作用。</w:t>
      </w:r>
    </w:p>
    <w:p w14:paraId="0233560E">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8  奖惩</w:t>
      </w:r>
    </w:p>
    <w:p w14:paraId="61EAEB64">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应急处置工作实行行政领导负责制和责任追究制。区管委会和区人力资源和社会保障局、区社会事业局对参加突发公共卫生事件应急处置作出贡献的先进集体和个人，给予表扬奖励；区社会事业局对在突发公共卫生事件应急处置工作中表现突出而英勇献身的人员，按照有关规定追认为烈士。</w:t>
      </w:r>
    </w:p>
    <w:p w14:paraId="75FD75B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管委会和有关部门要严格执行《突发公共卫生事件应急条例》等法律法规和规定，根据本预案要求认真履行职责。对履行职责不力、造成应急处置工作延误的，要追究有关当事人的责任。对在突发公共卫生事件的预防、报告、调查、控制和处置过程中，有玩忽职守、失职、渎职等行为的，依据《突发公共卫生事件应急条例》及有关法律法规规定，追究当事人的法律责任。</w:t>
      </w:r>
    </w:p>
    <w:p w14:paraId="66E2324E">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9  附则</w:t>
      </w:r>
    </w:p>
    <w:p w14:paraId="23DBE43C">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9.1  名词术语解释</w:t>
      </w:r>
    </w:p>
    <w:p w14:paraId="09B63B13">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突发公共卫生事件是指突然发生，造成或者可能造成社会公众健康严重损害的重大传染病疫情、群体性不明原因疾病、重大职业中毒以及其他严重影响公众健康的事件。</w:t>
      </w:r>
    </w:p>
    <w:p w14:paraId="6D90F3EF">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重大传染病疫情是指某种传染病在短时间内发生、波及范围广泛，出现大量的病人或死亡病例，其发病率远远超过常年的发病率水平的情况。</w:t>
      </w:r>
    </w:p>
    <w:p w14:paraId="0BC55B68">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群体性不明原因疾病是指在短时间内，某个相对集中的区域内同时或者相继出现具有共同临床表现病人，且病例不断增加，范围不断扩大，又暂时不能明确诊断的疾病。</w:t>
      </w:r>
    </w:p>
    <w:p w14:paraId="41F88198">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重大职业中毒是指由于职业危害的原因而造成的人数众多或者伤亡较重的中毒事件。</w:t>
      </w:r>
    </w:p>
    <w:p w14:paraId="13779E1C">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新传染病是指全球首次发现的传染病。</w:t>
      </w:r>
    </w:p>
    <w:p w14:paraId="2EC4EB37">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我国尚未发现传染病是指埃博拉、猴痘、黄热病、人变异性克雅氏病等在其他国家和地区已经发现，在我国尚未发现过的传染病。</w:t>
      </w:r>
    </w:p>
    <w:p w14:paraId="6CA56B9A">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我国已消灭传染病是指天花、脊髓灰质炎等传染病。</w:t>
      </w:r>
    </w:p>
    <w:p w14:paraId="1A5C1573">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9.2  预案管理</w:t>
      </w:r>
    </w:p>
    <w:p w14:paraId="6E5FEB7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本预案由区社会事业局会同区有关部门编制，并根据突发公共卫生事件的形势变化和实施中发现的问题及时进行修订，报区管委会批准后实施。</w:t>
      </w:r>
    </w:p>
    <w:p w14:paraId="61B0AB55">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区有关部门根据工作需要和本预案的规定，制定本部门职责范围内的具体工作预案，报区社会事业局备案。</w:t>
      </w:r>
    </w:p>
    <w:p w14:paraId="4582BC99">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各街道办事处根据《突发公共卫生事件应急条例》的规定，参照本预案并结合本地区实际情况，组织制定本地区突发公共卫生事件应急预案，报区社会事业局备案。</w:t>
      </w:r>
    </w:p>
    <w:p w14:paraId="392A9AE4">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9.3  预案解释部门</w:t>
      </w:r>
    </w:p>
    <w:p w14:paraId="376558F7">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本预案由区党政办公室负责解释。</w:t>
      </w:r>
    </w:p>
    <w:p w14:paraId="326D5D3B">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9.4  预案实施时间</w:t>
      </w:r>
    </w:p>
    <w:p w14:paraId="40A886BF">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本预案自印发之日起实施。原《开发区突发公共卫生事件应急预案》同时废止。</w:t>
      </w:r>
    </w:p>
    <w:p w14:paraId="398209FC">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10  附件</w:t>
      </w:r>
    </w:p>
    <w:p w14:paraId="257104ED">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10.1  应急组织体系框架图</w:t>
      </w:r>
    </w:p>
    <w:p w14:paraId="0910F971">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10.2  突发公共卫生事件报告系统示意图</w:t>
      </w:r>
    </w:p>
    <w:p w14:paraId="6E3EEDFF">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10.3  卫生应急处置队伍</w:t>
      </w:r>
    </w:p>
    <w:p w14:paraId="3686822C">
      <w:pPr>
        <w:tabs>
          <w:tab w:val="left" w:pos="1605"/>
        </w:tabs>
        <w:rPr>
          <w:rFonts w:ascii="Times New Roman" w:hAnsi="Times New Roman" w:eastAsia="仿宋_GB2312"/>
          <w:color w:val="000000"/>
          <w:sz w:val="32"/>
          <w:szCs w:val="32"/>
        </w:rPr>
      </w:pPr>
    </w:p>
    <w:p w14:paraId="7CFB0BC2">
      <w:pPr>
        <w:tabs>
          <w:tab w:val="left" w:pos="1605"/>
        </w:tabs>
        <w:rPr>
          <w:rFonts w:ascii="Times New Roman" w:hAnsi="Times New Roman" w:eastAsia="仿宋_GB2312"/>
          <w:color w:val="000000"/>
          <w:sz w:val="32"/>
          <w:szCs w:val="32"/>
        </w:rPr>
      </w:pPr>
    </w:p>
    <w:p w14:paraId="3A7E15D7">
      <w:pPr>
        <w:tabs>
          <w:tab w:val="left" w:pos="1605"/>
        </w:tabs>
        <w:rPr>
          <w:rFonts w:ascii="Times New Roman" w:hAnsi="Times New Roman"/>
        </w:rPr>
        <w:sectPr>
          <w:footerReference r:id="rId16" w:type="default"/>
          <w:footerReference r:id="rId17" w:type="even"/>
          <w:pgSz w:w="11906" w:h="16838"/>
          <w:pgMar w:top="2098" w:right="1474" w:bottom="1985" w:left="1588" w:header="851" w:footer="1588" w:gutter="0"/>
          <w:cols w:space="425" w:num="1"/>
          <w:docGrid w:linePitch="312" w:charSpace="0"/>
        </w:sectPr>
      </w:pPr>
    </w:p>
    <w:p w14:paraId="3F258CC1">
      <w:pPr>
        <w:adjustRightInd w:val="0"/>
        <w:snapToGrid w:val="0"/>
        <w:rPr>
          <w:rFonts w:ascii="Times New Roman" w:hAnsi="Times New Roman" w:eastAsia="仿宋_GB2312"/>
          <w:sz w:val="30"/>
          <w:szCs w:val="30"/>
        </w:rPr>
      </w:pPr>
      <w:r>
        <w:rPr>
          <w:rFonts w:ascii="Times New Roman" w:hAnsi="Times New Roman" w:eastAsia="仿宋_GB2312"/>
          <w:sz w:val="30"/>
          <w:szCs w:val="30"/>
        </w:rPr>
        <w:t>附件10.1</w:t>
      </w:r>
    </w:p>
    <w:p w14:paraId="0D14A11C">
      <w:pPr>
        <w:adjustRightInd w:val="0"/>
        <w:snapToGrid w:val="0"/>
        <w:jc w:val="center"/>
        <w:rPr>
          <w:rFonts w:ascii="Times New Roman" w:hAnsi="Times New Roman" w:eastAsia="方正小标宋简体"/>
          <w:sz w:val="36"/>
          <w:szCs w:val="36"/>
        </w:rPr>
      </w:pPr>
      <w:r>
        <w:rPr>
          <w:rFonts w:ascii="Times New Roman" w:hAnsi="Times New Roman" w:eastAsia="方正小标宋简体"/>
          <w:sz w:val="36"/>
          <w:szCs w:val="36"/>
        </w:rPr>
        <w:t>应急组织体系框架图</w:t>
      </w:r>
    </w:p>
    <w:p w14:paraId="6633D9C8">
      <w:pPr>
        <w:adjustRightInd w:val="0"/>
        <w:snapToGrid w:val="0"/>
        <w:ind w:firstLine="5220" w:firstLineChars="1450"/>
        <w:rPr>
          <w:rFonts w:ascii="Times New Roman" w:hAnsi="Times New Roman" w:eastAsia="方正小标宋简体"/>
          <w:sz w:val="36"/>
          <w:szCs w:val="36"/>
        </w:rPr>
      </w:pPr>
    </w:p>
    <w:p w14:paraId="0286D8C1">
      <w:pPr>
        <w:adjustRightInd w:val="0"/>
        <w:snapToGrid w:val="0"/>
        <w:spacing w:line="300" w:lineRule="auto"/>
        <w:rPr>
          <w:rFonts w:ascii="Times New Roman" w:hAnsi="Times New Roman" w:eastAsia="仿宋_GB2312"/>
          <w:sz w:val="28"/>
          <w:szCs w:val="28"/>
        </w:rPr>
      </w:pPr>
      <w:r>
        <w:rPr>
          <w:rFonts w:ascii="Times New Roman" w:hAnsi="Times New Roman" w:eastAsia="仿宋_GB2312"/>
          <w:sz w:val="28"/>
          <w:szCs w:val="28"/>
        </w:rPr>
        <w:drawing>
          <wp:anchor distT="0" distB="0" distL="114300" distR="114300" simplePos="0" relativeHeight="251660288" behindDoc="1" locked="0" layoutInCell="1" allowOverlap="1">
            <wp:simplePos x="0" y="0"/>
            <wp:positionH relativeFrom="column">
              <wp:posOffset>-2540</wp:posOffset>
            </wp:positionH>
            <wp:positionV relativeFrom="paragraph">
              <wp:posOffset>1905</wp:posOffset>
            </wp:positionV>
            <wp:extent cx="7746365" cy="38989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746365" cy="3898900"/>
                    </a:xfrm>
                    <a:prstGeom prst="rect">
                      <a:avLst/>
                    </a:prstGeom>
                    <a:noFill/>
                    <a:ln>
                      <a:noFill/>
                    </a:ln>
                  </pic:spPr>
                </pic:pic>
              </a:graphicData>
            </a:graphic>
          </wp:anchor>
        </w:drawing>
      </w:r>
    </w:p>
    <w:p w14:paraId="159B9CF1">
      <w:pPr>
        <w:tabs>
          <w:tab w:val="left" w:pos="1605"/>
        </w:tabs>
        <w:rPr>
          <w:rFonts w:ascii="Times New Roman" w:hAnsi="Times New Roman" w:eastAsia="宋体"/>
          <w:szCs w:val="20"/>
        </w:rPr>
      </w:pPr>
      <w:r>
        <w:rPr>
          <w:rFonts w:ascii="Times New Roman" w:hAnsi="Times New Roman" w:eastAsia="宋体"/>
          <w:szCs w:val="20"/>
        </w:rPr>
        <mc:AlternateContent>
          <mc:Choice Requires="wps">
            <w:drawing>
              <wp:anchor distT="45720" distB="45720" distL="114300" distR="114300" simplePos="0" relativeHeight="251695104" behindDoc="0" locked="0" layoutInCell="1" allowOverlap="1">
                <wp:simplePos x="0" y="0"/>
                <wp:positionH relativeFrom="column">
                  <wp:posOffset>2540</wp:posOffset>
                </wp:positionH>
                <wp:positionV relativeFrom="paragraph">
                  <wp:posOffset>1833880</wp:posOffset>
                </wp:positionV>
                <wp:extent cx="1453515" cy="474345"/>
                <wp:effectExtent l="4445" t="4445" r="8890" b="16510"/>
                <wp:wrapSquare wrapText="bothSides"/>
                <wp:docPr id="557" name="文本框 557"/>
                <wp:cNvGraphicFramePr/>
                <a:graphic xmlns:a="http://schemas.openxmlformats.org/drawingml/2006/main">
                  <a:graphicData uri="http://schemas.microsoft.com/office/word/2010/wordprocessingShape">
                    <wps:wsp>
                      <wps:cNvSpPr txBox="1"/>
                      <wps:spPr>
                        <a:xfrm>
                          <a:off x="0" y="0"/>
                          <a:ext cx="1453515" cy="4743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6F33104">
                            <w:pPr>
                              <w:rPr>
                                <w:rFonts w:ascii="Times New Roman" w:hAnsi="Times New Roman" w:eastAsia="宋体"/>
                                <w:sz w:val="18"/>
                                <w:szCs w:val="18"/>
                              </w:rPr>
                            </w:pPr>
                            <w:r>
                              <w:rPr>
                                <w:rFonts w:hint="eastAsia" w:ascii="Times New Roman" w:hAnsi="Times New Roman" w:eastAsia="宋体"/>
                                <w:sz w:val="18"/>
                                <w:szCs w:val="18"/>
                              </w:rPr>
                              <w:t>区级突发公共卫生事件</w:t>
                            </w:r>
                          </w:p>
                          <w:p w14:paraId="685B9C1F">
                            <w:pPr>
                              <w:rPr>
                                <w:rFonts w:ascii="Times New Roman" w:hAnsi="Times New Roman" w:eastAsia="宋体"/>
                                <w:sz w:val="18"/>
                                <w:szCs w:val="18"/>
                              </w:rPr>
                            </w:pPr>
                            <w:r>
                              <w:rPr>
                                <w:rFonts w:hint="eastAsia" w:ascii="Times New Roman" w:hAnsi="Times New Roman" w:eastAsia="宋体"/>
                                <w:sz w:val="18"/>
                                <w:szCs w:val="18"/>
                              </w:rPr>
                              <w:t>应急处置技术支持机构</w:t>
                            </w:r>
                          </w:p>
                        </w:txbxContent>
                      </wps:txbx>
                      <wps:bodyPr upright="1"/>
                    </wps:wsp>
                  </a:graphicData>
                </a:graphic>
              </wp:anchor>
            </w:drawing>
          </mc:Choice>
          <mc:Fallback>
            <w:pict>
              <v:shape id="_x0000_s1026" o:spid="_x0000_s1026" o:spt="202" type="#_x0000_t202" style="position:absolute;left:0pt;margin-left:0.2pt;margin-top:144.4pt;height:37.35pt;width:114.45pt;mso-wrap-distance-bottom:3.6pt;mso-wrap-distance-left:9pt;mso-wrap-distance-right:9pt;mso-wrap-distance-top:3.6pt;z-index:251695104;mso-width-relative:page;mso-height-relative:page;" fillcolor="#FFFFFF" filled="t" stroked="t" coordsize="21600,21600" o:gfxdata="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8wXTNgAAAAIAQAADwAAAAAA&#10;AAABACAAAAAiAAAAZHJzL2Rvd25yZXYueG1sUEsBAhQAFAAAAAgAh07iQAwFjU8TAgAASAQAAA4A&#10;AAAAAAAAAQAgAAAAJwEAAGRycy9lMm9Eb2MueG1sUEsFBgAAAAAGAAYAWQEAAKwFAAAAAA==&#10;">
                <v:fill on="t" focussize="0,0"/>
                <v:stroke color="#000000" joinstyle="miter"/>
                <v:imagedata o:title=""/>
                <o:lock v:ext="edit" aspectratio="f"/>
                <v:textbox>
                  <w:txbxContent>
                    <w:p w14:paraId="66F33104">
                      <w:pPr>
                        <w:rPr>
                          <w:rFonts w:ascii="Times New Roman" w:hAnsi="Times New Roman" w:eastAsia="宋体"/>
                          <w:sz w:val="18"/>
                          <w:szCs w:val="18"/>
                        </w:rPr>
                      </w:pPr>
                      <w:r>
                        <w:rPr>
                          <w:rFonts w:hint="eastAsia" w:ascii="Times New Roman" w:hAnsi="Times New Roman" w:eastAsia="宋体"/>
                          <w:sz w:val="18"/>
                          <w:szCs w:val="18"/>
                        </w:rPr>
                        <w:t>区级突发公共卫生事件</w:t>
                      </w:r>
                    </w:p>
                    <w:p w14:paraId="685B9C1F">
                      <w:pPr>
                        <w:rPr>
                          <w:rFonts w:ascii="Times New Roman" w:hAnsi="Times New Roman" w:eastAsia="宋体"/>
                          <w:sz w:val="18"/>
                          <w:szCs w:val="18"/>
                        </w:rPr>
                      </w:pPr>
                      <w:r>
                        <w:rPr>
                          <w:rFonts w:hint="eastAsia" w:ascii="Times New Roman" w:hAnsi="Times New Roman" w:eastAsia="宋体"/>
                          <w:sz w:val="18"/>
                          <w:szCs w:val="18"/>
                        </w:rPr>
                        <w:t>应急处置技术支持机构</w:t>
                      </w:r>
                    </w:p>
                  </w:txbxContent>
                </v:textbox>
                <w10:wrap type="square"/>
              </v:shape>
            </w:pict>
          </mc:Fallback>
        </mc:AlternateContent>
      </w:r>
      <w:r>
        <w:rPr>
          <w:rFonts w:ascii="Times New Roman" w:hAnsi="Times New Roman" w:eastAsia="宋体"/>
          <w:szCs w:val="20"/>
        </w:rPr>
        <mc:AlternateContent>
          <mc:Choice Requires="wps">
            <w:drawing>
              <wp:anchor distT="45720" distB="45720" distL="114300" distR="114300" simplePos="0" relativeHeight="251694080" behindDoc="0" locked="0" layoutInCell="1" allowOverlap="1">
                <wp:simplePos x="0" y="0"/>
                <wp:positionH relativeFrom="column">
                  <wp:posOffset>1831340</wp:posOffset>
                </wp:positionH>
                <wp:positionV relativeFrom="paragraph">
                  <wp:posOffset>1938655</wp:posOffset>
                </wp:positionV>
                <wp:extent cx="1528445" cy="331470"/>
                <wp:effectExtent l="4445" t="4445" r="10160" b="6985"/>
                <wp:wrapSquare wrapText="bothSides"/>
                <wp:docPr id="558" name="文本框 558"/>
                <wp:cNvGraphicFramePr/>
                <a:graphic xmlns:a="http://schemas.openxmlformats.org/drawingml/2006/main">
                  <a:graphicData uri="http://schemas.microsoft.com/office/word/2010/wordprocessingShape">
                    <wps:wsp>
                      <wps:cNvSpPr txBox="1"/>
                      <wps:spPr>
                        <a:xfrm>
                          <a:off x="0" y="0"/>
                          <a:ext cx="1528445" cy="331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B015E9">
                            <w:pPr>
                              <w:rPr>
                                <w:rFonts w:ascii="Times New Roman" w:hAnsi="Times New Roman" w:eastAsia="宋体"/>
                                <w:sz w:val="18"/>
                                <w:szCs w:val="18"/>
                              </w:rPr>
                            </w:pPr>
                            <w:r>
                              <w:rPr>
                                <w:rFonts w:hint="eastAsia" w:ascii="Times New Roman" w:hAnsi="Times New Roman" w:eastAsia="宋体"/>
                                <w:sz w:val="18"/>
                                <w:szCs w:val="18"/>
                              </w:rPr>
                              <w:t>区社会事业局</w:t>
                            </w:r>
                          </w:p>
                        </w:txbxContent>
                      </wps:txbx>
                      <wps:bodyPr upright="1"/>
                    </wps:wsp>
                  </a:graphicData>
                </a:graphic>
              </wp:anchor>
            </w:drawing>
          </mc:Choice>
          <mc:Fallback>
            <w:pict>
              <v:shape id="_x0000_s1026" o:spid="_x0000_s1026" o:spt="202" type="#_x0000_t202" style="position:absolute;left:0pt;margin-left:144.2pt;margin-top:152.65pt;height:26.1pt;width:120.35pt;mso-wrap-distance-bottom:3.6pt;mso-wrap-distance-left:9pt;mso-wrap-distance-right:9pt;mso-wrap-distance-top:3.6pt;z-index:251694080;mso-width-relative:page;mso-height-relative:page;" fillcolor="#FFFFFF" filled="t" stroked="t" coordsize="21600,21600" o:gfxdata="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EfAZ9sAAAALAQAA&#10;DwAAAAAAAAABACAAAAAiAAAAZHJzL2Rvd25yZXYueG1sUEsBAhQAFAAAAAgAh07iQOBsuv4WAgAA&#10;SAQAAA4AAAAAAAAAAQAgAAAAKgEAAGRycy9lMm9Eb2MueG1sUEsFBgAAAAAGAAYAWQEAALIFAAAA&#10;AA==&#10;">
                <v:fill on="t" focussize="0,0"/>
                <v:stroke color="#000000" joinstyle="miter"/>
                <v:imagedata o:title=""/>
                <o:lock v:ext="edit" aspectratio="f"/>
                <v:textbox>
                  <w:txbxContent>
                    <w:p w14:paraId="34B015E9">
                      <w:pPr>
                        <w:rPr>
                          <w:rFonts w:ascii="Times New Roman" w:hAnsi="Times New Roman" w:eastAsia="宋体"/>
                          <w:sz w:val="18"/>
                          <w:szCs w:val="18"/>
                        </w:rPr>
                      </w:pPr>
                      <w:r>
                        <w:rPr>
                          <w:rFonts w:hint="eastAsia" w:ascii="Times New Roman" w:hAnsi="Times New Roman" w:eastAsia="宋体"/>
                          <w:sz w:val="18"/>
                          <w:szCs w:val="18"/>
                        </w:rPr>
                        <w:t>区社会事业局</w:t>
                      </w:r>
                    </w:p>
                  </w:txbxContent>
                </v:textbox>
                <w10:wrap type="square"/>
              </v:shape>
            </w:pict>
          </mc:Fallback>
        </mc:AlternateContent>
      </w:r>
      <w:r>
        <w:rPr>
          <w:rFonts w:ascii="Times New Roman" w:hAnsi="Times New Roman" w:eastAsia="宋体"/>
          <w:szCs w:val="20"/>
        </w:rPr>
        <mc:AlternateContent>
          <mc:Choice Requires="wps">
            <w:drawing>
              <wp:anchor distT="45720" distB="45720" distL="114300" distR="114300" simplePos="0" relativeHeight="251693056" behindDoc="0" locked="0" layoutInCell="1" allowOverlap="1">
                <wp:simplePos x="0" y="0"/>
                <wp:positionH relativeFrom="column">
                  <wp:posOffset>4803775</wp:posOffset>
                </wp:positionH>
                <wp:positionV relativeFrom="paragraph">
                  <wp:posOffset>1938655</wp:posOffset>
                </wp:positionV>
                <wp:extent cx="1242060" cy="283845"/>
                <wp:effectExtent l="4445" t="4445" r="10795" b="16510"/>
                <wp:wrapSquare wrapText="bothSides"/>
                <wp:docPr id="556" name="文本框 556"/>
                <wp:cNvGraphicFramePr/>
                <a:graphic xmlns:a="http://schemas.openxmlformats.org/drawingml/2006/main">
                  <a:graphicData uri="http://schemas.microsoft.com/office/word/2010/wordprocessingShape">
                    <wps:wsp>
                      <wps:cNvSpPr txBox="1"/>
                      <wps:spPr>
                        <a:xfrm>
                          <a:off x="0" y="0"/>
                          <a:ext cx="1242060" cy="2838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1EBF24E">
                            <w:pPr>
                              <w:rPr>
                                <w:rFonts w:ascii="Times New Roman" w:hAnsi="Times New Roman" w:eastAsia="宋体"/>
                                <w:sz w:val="18"/>
                                <w:szCs w:val="18"/>
                              </w:rPr>
                            </w:pPr>
                            <w:r>
                              <w:rPr>
                                <w:rFonts w:hint="eastAsia" w:ascii="Times New Roman" w:hAnsi="Times New Roman" w:eastAsia="宋体"/>
                                <w:sz w:val="18"/>
                                <w:szCs w:val="18"/>
                              </w:rPr>
                              <w:t>区管委会有关部门</w:t>
                            </w:r>
                          </w:p>
                          <w:p w14:paraId="10A67EBD">
                            <w:pPr>
                              <w:rPr>
                                <w:rFonts w:ascii="Times New Roman" w:hAnsi="Times New Roman" w:eastAsia="宋体"/>
                                <w:szCs w:val="20"/>
                              </w:rPr>
                            </w:pPr>
                          </w:p>
                        </w:txbxContent>
                      </wps:txbx>
                      <wps:bodyPr upright="1"/>
                    </wps:wsp>
                  </a:graphicData>
                </a:graphic>
              </wp:anchor>
            </w:drawing>
          </mc:Choice>
          <mc:Fallback>
            <w:pict>
              <v:shape id="_x0000_s1026" o:spid="_x0000_s1026" o:spt="202" type="#_x0000_t202" style="position:absolute;left:0pt;margin-left:378.25pt;margin-top:152.65pt;height:22.35pt;width:97.8pt;mso-wrap-distance-bottom:3.6pt;mso-wrap-distance-left:9pt;mso-wrap-distance-right:9pt;mso-wrap-distance-top:3.6pt;z-index:251693056;mso-width-relative:page;mso-height-relative:page;" fillcolor="#FFFFFF" filled="t" stroked="t" coordsize="21600,21600" o:gfxdata="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02f9G2gAAAAsBAAAPAAAA&#10;AAAAAAEAIAAAACIAAABkcnMvZG93bnJldi54bWxQSwECFAAUAAAACACHTuJA27d5cxMCAABIBAAA&#10;DgAAAAAAAAABACAAAAApAQAAZHJzL2Uyb0RvYy54bWxQSwUGAAAAAAYABgBZAQAArgUAAAAA&#10;">
                <v:fill on="t" focussize="0,0"/>
                <v:stroke color="#000000" joinstyle="miter"/>
                <v:imagedata o:title=""/>
                <o:lock v:ext="edit" aspectratio="f"/>
                <v:textbox>
                  <w:txbxContent>
                    <w:p w14:paraId="41EBF24E">
                      <w:pPr>
                        <w:rPr>
                          <w:rFonts w:ascii="Times New Roman" w:hAnsi="Times New Roman" w:eastAsia="宋体"/>
                          <w:sz w:val="18"/>
                          <w:szCs w:val="18"/>
                        </w:rPr>
                      </w:pPr>
                      <w:r>
                        <w:rPr>
                          <w:rFonts w:hint="eastAsia" w:ascii="Times New Roman" w:hAnsi="Times New Roman" w:eastAsia="宋体"/>
                          <w:sz w:val="18"/>
                          <w:szCs w:val="18"/>
                        </w:rPr>
                        <w:t>区管委会有关部门</w:t>
                      </w:r>
                    </w:p>
                    <w:p w14:paraId="10A67EBD">
                      <w:pPr>
                        <w:rPr>
                          <w:rFonts w:ascii="Times New Roman" w:hAnsi="Times New Roman" w:eastAsia="宋体"/>
                          <w:szCs w:val="20"/>
                        </w:rPr>
                      </w:pPr>
                    </w:p>
                  </w:txbxContent>
                </v:textbox>
                <w10:wrap type="square"/>
              </v:shape>
            </w:pict>
          </mc:Fallback>
        </mc:AlternateContent>
      </w:r>
    </w:p>
    <w:p w14:paraId="1A250058">
      <w:pPr>
        <w:rPr>
          <w:rFonts w:ascii="Times New Roman" w:hAnsi="Times New Roman" w:eastAsia="宋体"/>
          <w:szCs w:val="20"/>
        </w:rPr>
      </w:pPr>
    </w:p>
    <w:p w14:paraId="617D8D23">
      <w:pPr>
        <w:rPr>
          <w:rFonts w:ascii="Times New Roman" w:hAnsi="Times New Roman" w:eastAsia="宋体"/>
          <w:szCs w:val="20"/>
        </w:rPr>
      </w:pPr>
    </w:p>
    <w:p w14:paraId="5A3E3994">
      <w:pPr>
        <w:rPr>
          <w:rFonts w:ascii="Times New Roman" w:hAnsi="Times New Roman" w:eastAsia="宋体"/>
          <w:szCs w:val="20"/>
        </w:rPr>
      </w:pPr>
    </w:p>
    <w:p w14:paraId="54E98366">
      <w:pPr>
        <w:rPr>
          <w:rFonts w:ascii="Times New Roman" w:hAnsi="Times New Roman" w:eastAsia="宋体"/>
          <w:szCs w:val="20"/>
        </w:rPr>
      </w:pPr>
    </w:p>
    <w:p w14:paraId="1170E303">
      <w:pPr>
        <w:rPr>
          <w:rFonts w:ascii="Times New Roman" w:hAnsi="Times New Roman" w:eastAsia="宋体"/>
          <w:szCs w:val="20"/>
        </w:rPr>
      </w:pPr>
    </w:p>
    <w:p w14:paraId="3EB83DE8">
      <w:pPr>
        <w:rPr>
          <w:rFonts w:ascii="Times New Roman" w:hAnsi="Times New Roman" w:eastAsia="宋体"/>
          <w:szCs w:val="20"/>
        </w:rPr>
      </w:pPr>
    </w:p>
    <w:p w14:paraId="5CA8C280">
      <w:pPr>
        <w:rPr>
          <w:rFonts w:ascii="Times New Roman" w:hAnsi="Times New Roman" w:eastAsia="宋体"/>
          <w:szCs w:val="20"/>
        </w:rPr>
      </w:pPr>
    </w:p>
    <w:p w14:paraId="1FF9C5B0">
      <w:pPr>
        <w:rPr>
          <w:rFonts w:ascii="Times New Roman" w:hAnsi="Times New Roman" w:eastAsia="宋体"/>
          <w:szCs w:val="20"/>
        </w:rPr>
      </w:pPr>
    </w:p>
    <w:p w14:paraId="6622AE72">
      <w:pPr>
        <w:rPr>
          <w:rFonts w:ascii="Times New Roman" w:hAnsi="Times New Roman" w:eastAsia="宋体"/>
          <w:szCs w:val="20"/>
        </w:rPr>
      </w:pPr>
    </w:p>
    <w:p w14:paraId="679EFD85">
      <w:pPr>
        <w:rPr>
          <w:rFonts w:ascii="Times New Roman" w:hAnsi="Times New Roman" w:eastAsia="宋体"/>
          <w:szCs w:val="20"/>
        </w:rPr>
      </w:pPr>
    </w:p>
    <w:p w14:paraId="54EBDFD1">
      <w:pPr>
        <w:rPr>
          <w:rFonts w:ascii="Times New Roman" w:hAnsi="Times New Roman" w:eastAsia="宋体"/>
          <w:szCs w:val="20"/>
        </w:rPr>
      </w:pPr>
    </w:p>
    <w:p w14:paraId="7C84D94B">
      <w:pPr>
        <w:rPr>
          <w:rFonts w:ascii="Times New Roman" w:hAnsi="Times New Roman" w:eastAsia="宋体"/>
          <w:szCs w:val="20"/>
        </w:rPr>
      </w:pPr>
    </w:p>
    <w:p w14:paraId="70A5335F">
      <w:pPr>
        <w:rPr>
          <w:rFonts w:ascii="Times New Roman" w:hAnsi="Times New Roman" w:eastAsia="宋体"/>
          <w:szCs w:val="20"/>
        </w:rPr>
      </w:pPr>
    </w:p>
    <w:p w14:paraId="587B5FF6">
      <w:pPr>
        <w:rPr>
          <w:rFonts w:ascii="Times New Roman" w:hAnsi="Times New Roman" w:eastAsia="宋体"/>
          <w:szCs w:val="20"/>
        </w:rPr>
      </w:pPr>
    </w:p>
    <w:p w14:paraId="0E157001">
      <w:pPr>
        <w:rPr>
          <w:rFonts w:ascii="Times New Roman" w:hAnsi="Times New Roman" w:eastAsia="宋体"/>
          <w:szCs w:val="20"/>
        </w:rPr>
      </w:pPr>
    </w:p>
    <w:p w14:paraId="290A3A25">
      <w:pPr>
        <w:rPr>
          <w:rFonts w:ascii="Times New Roman" w:hAnsi="Times New Roman" w:eastAsia="宋体"/>
          <w:szCs w:val="20"/>
        </w:rPr>
      </w:pPr>
    </w:p>
    <w:p w14:paraId="0C279615">
      <w:pPr>
        <w:rPr>
          <w:rFonts w:ascii="Times New Roman" w:hAnsi="Times New Roman" w:eastAsia="宋体"/>
          <w:szCs w:val="20"/>
        </w:rPr>
      </w:pPr>
    </w:p>
    <w:p w14:paraId="0368D52C">
      <w:pPr>
        <w:rPr>
          <w:rFonts w:ascii="Times New Roman" w:hAnsi="Times New Roman" w:eastAsia="宋体"/>
          <w:szCs w:val="20"/>
        </w:rPr>
      </w:pPr>
    </w:p>
    <w:p w14:paraId="5BDC2B74">
      <w:pPr>
        <w:ind w:firstLine="420" w:firstLineChars="200"/>
        <w:rPr>
          <w:rFonts w:ascii="Times New Roman" w:hAnsi="Times New Roman" w:eastAsia="宋体"/>
          <w:szCs w:val="20"/>
        </w:rPr>
      </w:pPr>
    </w:p>
    <w:p w14:paraId="3E32EF18">
      <w:pPr>
        <w:ind w:firstLine="420" w:firstLineChars="200"/>
        <w:rPr>
          <w:rFonts w:ascii="Times New Roman" w:hAnsi="Times New Roman" w:eastAsia="宋体"/>
          <w:szCs w:val="20"/>
        </w:rPr>
      </w:pPr>
    </w:p>
    <w:p w14:paraId="02AC3337">
      <w:pPr>
        <w:ind w:firstLine="420" w:firstLineChars="200"/>
        <w:rPr>
          <w:rFonts w:ascii="Times New Roman" w:hAnsi="Times New Roman"/>
        </w:rPr>
        <w:sectPr>
          <w:pgSz w:w="16838" w:h="11906" w:orient="landscape"/>
          <w:pgMar w:top="1588" w:right="2098" w:bottom="1474" w:left="1985" w:header="851" w:footer="1588" w:gutter="0"/>
          <w:cols w:space="425" w:num="1"/>
          <w:docGrid w:linePitch="312" w:charSpace="0"/>
        </w:sectPr>
      </w:pPr>
    </w:p>
    <w:p w14:paraId="5582C545">
      <w:pPr>
        <w:adjustRightInd w:val="0"/>
        <w:snapToGrid w:val="0"/>
        <w:spacing w:line="300" w:lineRule="auto"/>
        <w:rPr>
          <w:rFonts w:ascii="Times New Roman" w:hAnsi="Times New Roman" w:eastAsia="仿宋_GB2312"/>
          <w:sz w:val="30"/>
          <w:szCs w:val="30"/>
        </w:rPr>
      </w:pPr>
      <w:r>
        <w:rPr>
          <w:rFonts w:ascii="Times New Roman" w:hAnsi="Times New Roman" w:eastAsia="仿宋_GB2312"/>
          <w:sz w:val="30"/>
          <w:szCs w:val="30"/>
        </w:rPr>
        <w:t>附件10.2</w:t>
      </w:r>
    </w:p>
    <w:p w14:paraId="6189D047">
      <w:pPr>
        <w:adjustRightInd w:val="0"/>
        <w:snapToGrid w:val="0"/>
        <w:spacing w:line="300" w:lineRule="auto"/>
        <w:jc w:val="center"/>
        <w:rPr>
          <w:rFonts w:ascii="Times New Roman" w:hAnsi="Times New Roman" w:eastAsia="方正小标宋简体"/>
          <w:sz w:val="36"/>
          <w:szCs w:val="36"/>
        </w:rPr>
      </w:pPr>
      <w:r>
        <w:rPr>
          <w:rFonts w:ascii="Times New Roman" w:hAnsi="Times New Roman" w:eastAsia="方正小标宋简体"/>
          <w:sz w:val="36"/>
          <w:szCs w:val="36"/>
        </w:rPr>
        <w:t>突发公共卫生事件报告系统示意图</w:t>
      </w:r>
    </w:p>
    <w:p w14:paraId="617B8AC5">
      <w:pPr>
        <w:adjustRightInd w:val="0"/>
        <w:snapToGrid w:val="0"/>
        <w:spacing w:line="300" w:lineRule="auto"/>
        <w:jc w:val="center"/>
        <w:rPr>
          <w:rFonts w:ascii="Times New Roman" w:hAnsi="Times New Roman" w:eastAsia="方正小标宋简体"/>
          <w:sz w:val="36"/>
          <w:szCs w:val="36"/>
        </w:rPr>
      </w:pPr>
    </w:p>
    <w:p w14:paraId="1A37ABDD">
      <w:pPr>
        <w:adjustRightInd w:val="0"/>
        <w:snapToGrid w:val="0"/>
        <w:spacing w:line="300" w:lineRule="auto"/>
        <w:jc w:val="center"/>
        <w:rPr>
          <w:rFonts w:ascii="Times New Roman" w:hAnsi="Times New Roman" w:eastAsia="方正小标宋简体"/>
          <w:sz w:val="36"/>
          <w:szCs w:val="36"/>
        </w:rPr>
      </w:pPr>
      <w:r>
        <w:rPr>
          <w:rFonts w:ascii="Times New Roman" w:hAnsi="Times New Roman" w:eastAsia="方正小标宋简体"/>
          <w:sz w:val="36"/>
          <w:szCs w:val="36"/>
        </w:rPr>
        <w:drawing>
          <wp:inline distT="0" distB="0" distL="0" distR="0">
            <wp:extent cx="6116320" cy="6754495"/>
            <wp:effectExtent l="0" t="0" r="0" b="8255"/>
            <wp:docPr id="1" name="图片 1" descr="C:\Users\Administrator\Desktop\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示意图.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116320" cy="6754495"/>
                    </a:xfrm>
                    <a:prstGeom prst="rect">
                      <a:avLst/>
                    </a:prstGeom>
                    <a:noFill/>
                    <a:ln>
                      <a:noFill/>
                    </a:ln>
                  </pic:spPr>
                </pic:pic>
              </a:graphicData>
            </a:graphic>
          </wp:inline>
        </w:drawing>
      </w:r>
    </w:p>
    <w:p w14:paraId="40FE4C23">
      <w:pPr>
        <w:ind w:firstLine="420" w:firstLineChars="200"/>
        <w:rPr>
          <w:rFonts w:ascii="Times New Roman" w:hAnsi="Times New Roman" w:eastAsia="宋体"/>
          <w:szCs w:val="20"/>
        </w:rPr>
      </w:pPr>
    </w:p>
    <w:p w14:paraId="0F487A13">
      <w:pPr>
        <w:rPr>
          <w:rFonts w:ascii="Times New Roman" w:hAnsi="Times New Roman" w:eastAsia="仿宋_GB2312"/>
          <w:sz w:val="30"/>
          <w:szCs w:val="30"/>
        </w:rPr>
        <w:sectPr>
          <w:pgSz w:w="11906" w:h="16838"/>
          <w:pgMar w:top="2098" w:right="1474" w:bottom="1985" w:left="1588" w:header="851" w:footer="1588" w:gutter="0"/>
          <w:cols w:space="425" w:num="1"/>
          <w:docGrid w:linePitch="312" w:charSpace="0"/>
        </w:sectPr>
      </w:pPr>
    </w:p>
    <w:p w14:paraId="006175A4">
      <w:pPr>
        <w:rPr>
          <w:rFonts w:ascii="Times New Roman" w:hAnsi="Times New Roman" w:eastAsia="黑体"/>
          <w:sz w:val="32"/>
          <w:szCs w:val="32"/>
        </w:rPr>
      </w:pPr>
      <w:r>
        <w:rPr>
          <w:rFonts w:ascii="Times New Roman" w:hAnsi="Times New Roman" w:eastAsia="黑体"/>
          <w:sz w:val="32"/>
          <w:szCs w:val="32"/>
        </w:rPr>
        <w:t>附件10.3</w:t>
      </w:r>
    </w:p>
    <w:p w14:paraId="17DFD678">
      <w:pPr>
        <w:jc w:val="center"/>
        <w:rPr>
          <w:rFonts w:ascii="Times New Roman" w:hAnsi="Times New Roman" w:eastAsia="仿宋_GB2312"/>
          <w:sz w:val="30"/>
          <w:szCs w:val="30"/>
        </w:rPr>
      </w:pPr>
      <w:r>
        <w:rPr>
          <w:rFonts w:ascii="Times New Roman" w:hAnsi="Times New Roman" w:eastAsia="方正小标宋简体"/>
          <w:sz w:val="36"/>
          <w:szCs w:val="36"/>
        </w:rPr>
        <w:t>卫生应急处置队伍</w:t>
      </w:r>
    </w:p>
    <w:p w14:paraId="065A9FC5">
      <w:pPr>
        <w:spacing w:line="540" w:lineRule="exact"/>
        <w:rPr>
          <w:rFonts w:ascii="Times New Roman" w:hAnsi="Times New Roman" w:eastAsia="黑体"/>
          <w:sz w:val="32"/>
          <w:szCs w:val="32"/>
        </w:rPr>
      </w:pPr>
      <w:r>
        <w:rPr>
          <w:rFonts w:ascii="Times New Roman" w:hAnsi="Times New Roman" w:eastAsia="黑体"/>
          <w:sz w:val="32"/>
          <w:szCs w:val="32"/>
        </w:rPr>
        <w:t>一、流行病学调查队伍</w:t>
      </w:r>
    </w:p>
    <w:p w14:paraId="1046A476">
      <w:pPr>
        <w:spacing w:line="540" w:lineRule="exact"/>
        <w:rPr>
          <w:rFonts w:ascii="Times New Roman" w:hAnsi="Times New Roman" w:eastAsia="楷体_GB2312"/>
          <w:sz w:val="28"/>
          <w:szCs w:val="28"/>
        </w:rPr>
      </w:pPr>
      <w:r>
        <w:rPr>
          <w:rFonts w:ascii="Times New Roman" w:hAnsi="Times New Roman" w:eastAsia="楷体_GB2312"/>
          <w:sz w:val="28"/>
          <w:szCs w:val="28"/>
        </w:rPr>
        <w:t>职  务  姓  名  性别   单  位  职  称   专业方向    电  话</w:t>
      </w:r>
    </w:p>
    <w:p w14:paraId="253C4A38">
      <w:pPr>
        <w:spacing w:line="540" w:lineRule="exact"/>
        <w:rPr>
          <w:rFonts w:ascii="Times New Roman" w:hAnsi="Times New Roman" w:eastAsia="仿宋_GB2312"/>
          <w:sz w:val="28"/>
          <w:szCs w:val="28"/>
        </w:rPr>
      </w:pPr>
      <w:r>
        <w:rPr>
          <w:rFonts w:ascii="Times New Roman" w:hAnsi="Times New Roman" w:eastAsia="仿宋_GB2312"/>
          <w:bCs/>
          <w:sz w:val="28"/>
          <w:szCs w:val="28"/>
        </w:rPr>
        <w:t>队长</w:t>
      </w:r>
      <w:r>
        <w:rPr>
          <w:rFonts w:ascii="Times New Roman" w:hAnsi="Times New Roman" w:eastAsia="仿宋_GB2312"/>
          <w:sz w:val="28"/>
          <w:szCs w:val="28"/>
        </w:rPr>
        <w:t xml:space="preserve">   宋家胜  男  区卫监所  副主任医师 传染病控制  13961317271</w:t>
      </w:r>
    </w:p>
    <w:p w14:paraId="67FEBCBC">
      <w:pPr>
        <w:spacing w:line="540" w:lineRule="exact"/>
        <w:rPr>
          <w:rFonts w:ascii="Times New Roman" w:hAnsi="Times New Roman" w:eastAsia="仿宋_GB2312"/>
          <w:sz w:val="28"/>
          <w:szCs w:val="28"/>
        </w:rPr>
      </w:pPr>
      <w:r>
        <w:rPr>
          <w:rFonts w:ascii="Times New Roman" w:hAnsi="Times New Roman" w:eastAsia="仿宋_GB2312"/>
          <w:bCs/>
          <w:sz w:val="28"/>
          <w:szCs w:val="28"/>
        </w:rPr>
        <w:t>联络员</w:t>
      </w:r>
      <w:r>
        <w:rPr>
          <w:rFonts w:ascii="Times New Roman" w:hAnsi="Times New Roman" w:eastAsia="仿宋_GB2312"/>
          <w:sz w:val="28"/>
          <w:szCs w:val="28"/>
        </w:rPr>
        <w:t xml:space="preserve"> 张双龙  男  区卫监所  主治医师   传染病控制  13675297205</w:t>
      </w:r>
    </w:p>
    <w:p w14:paraId="04B0DCE7">
      <w:pPr>
        <w:spacing w:line="540" w:lineRule="exact"/>
        <w:rPr>
          <w:rFonts w:ascii="Times New Roman" w:hAnsi="Times New Roman" w:eastAsia="仿宋_GB2312"/>
          <w:sz w:val="28"/>
          <w:szCs w:val="28"/>
        </w:rPr>
      </w:pPr>
      <w:r>
        <w:rPr>
          <w:rFonts w:ascii="Times New Roman" w:hAnsi="Times New Roman" w:eastAsia="仿宋_GB2312"/>
          <w:bCs/>
          <w:sz w:val="28"/>
          <w:szCs w:val="28"/>
        </w:rPr>
        <w:t>队  员</w:t>
      </w:r>
      <w:r>
        <w:rPr>
          <w:rFonts w:ascii="Times New Roman" w:hAnsi="Times New Roman" w:eastAsia="仿宋_GB2312"/>
          <w:sz w:val="28"/>
          <w:szCs w:val="28"/>
        </w:rPr>
        <w:t xml:space="preserve"> 许  睿  男  区卫监所  主治医师   公共卫生    18795518279</w:t>
      </w:r>
    </w:p>
    <w:p w14:paraId="5106256D">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尚  峰  男  区卫监所  公卫医师   预防医学    18205136050</w:t>
      </w:r>
    </w:p>
    <w:p w14:paraId="07AAD6B4">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李存禄  男  区卫监所  公卫医师   公共卫生    18896621655</w:t>
      </w:r>
    </w:p>
    <w:p w14:paraId="1E2E9E80">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盛  皓  女  区卫监所  公卫医师   预防医学    15161349253</w:t>
      </w:r>
    </w:p>
    <w:p w14:paraId="37C01249">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李晓辉  男  区卫监所  公卫医师   预防医学    17768591989</w:t>
      </w:r>
    </w:p>
    <w:p w14:paraId="71CBAA5A">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刘季婷 女  区卫监所   公卫医师   预防医学    18861350220</w:t>
      </w:r>
    </w:p>
    <w:p w14:paraId="63344D79">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惠志燕 女  中云中心   护师       护理        18061381592</w:t>
      </w:r>
    </w:p>
    <w:p w14:paraId="55C40EFE">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李  想 女  中云中心   护师       护理        18061381656</w:t>
      </w:r>
    </w:p>
    <w:p w14:paraId="7BE11CBD">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赵中华 女  中云中心  主管护师    护理        18061381679</w:t>
      </w:r>
    </w:p>
    <w:p w14:paraId="09F07050">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苏巧美 女  中云中心  副主任护师  护理        17751875097</w:t>
      </w:r>
    </w:p>
    <w:p w14:paraId="2EAC7C09">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胡玉花 女  朝阳中心  主管护师    护理        18961380122</w:t>
      </w:r>
    </w:p>
    <w:p w14:paraId="4A34D0B4">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李  洁 女  朝阳中心  主管护师    护理        18961380161</w:t>
      </w:r>
    </w:p>
    <w:p w14:paraId="42974A5C">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宋  艳 女  朝阳中心  主治医师    全科        18961380185</w:t>
      </w:r>
    </w:p>
    <w:p w14:paraId="29C05859">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顾燕平 女  朝阳中心  主治医师    口腔        18961380186</w:t>
      </w:r>
    </w:p>
    <w:p w14:paraId="513925CF">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徐  红 女  猴嘴中心  主管护师    护理        18961397012</w:t>
      </w:r>
    </w:p>
    <w:p w14:paraId="1D0A15AC">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范冬亮 男  猴嘴中心  医士        临床        18961250352</w:t>
      </w:r>
    </w:p>
    <w:p w14:paraId="0E1C3322">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卞  丽 女  猴嘴中心  护师        护理        18961397096</w:t>
      </w:r>
    </w:p>
    <w:p w14:paraId="7B278609">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王  锐 女  猴嘴中心     护师      护理      15861224244</w:t>
      </w:r>
    </w:p>
    <w:p w14:paraId="42F6943D">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谢冰艳 女  区卫监所   副主任医师  预防医学  15950778649</w:t>
      </w:r>
    </w:p>
    <w:p w14:paraId="162BEAC9">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赵红梅 女  中云中心   主管护师    护理      17751875079</w:t>
      </w:r>
    </w:p>
    <w:p w14:paraId="757FA1DB">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孙和静 男  朝阳中心   主治医师    全科      13382955380</w:t>
      </w:r>
    </w:p>
    <w:p w14:paraId="7BBD5226">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张雨欣 女  猴嘴中心   护士        护理      15251273565 </w:t>
      </w:r>
    </w:p>
    <w:p w14:paraId="31681C9D">
      <w:pPr>
        <w:spacing w:line="540" w:lineRule="exact"/>
        <w:rPr>
          <w:rFonts w:ascii="Times New Roman" w:hAnsi="Times New Roman" w:eastAsia="黑体"/>
          <w:sz w:val="32"/>
          <w:szCs w:val="32"/>
        </w:rPr>
      </w:pPr>
      <w:r>
        <w:rPr>
          <w:rFonts w:ascii="Times New Roman" w:hAnsi="Times New Roman" w:eastAsia="黑体"/>
          <w:sz w:val="32"/>
          <w:szCs w:val="32"/>
        </w:rPr>
        <w:t>二、环境消杀队伍</w:t>
      </w:r>
    </w:p>
    <w:p w14:paraId="55FED7A7">
      <w:pPr>
        <w:spacing w:line="540" w:lineRule="exact"/>
        <w:rPr>
          <w:rFonts w:ascii="Times New Roman" w:hAnsi="Times New Roman" w:eastAsia="楷体_GB2312"/>
          <w:sz w:val="28"/>
          <w:szCs w:val="28"/>
        </w:rPr>
      </w:pPr>
      <w:r>
        <w:rPr>
          <w:rFonts w:ascii="Times New Roman" w:hAnsi="Times New Roman" w:eastAsia="楷体_GB2312"/>
          <w:sz w:val="28"/>
          <w:szCs w:val="28"/>
        </w:rPr>
        <w:t>职务    姓名  性别  单  位   职  称      专业方向     电  话</w:t>
      </w:r>
    </w:p>
    <w:p w14:paraId="46BF7D74">
      <w:pPr>
        <w:spacing w:line="540" w:lineRule="exact"/>
        <w:rPr>
          <w:rFonts w:ascii="Times New Roman" w:hAnsi="Times New Roman" w:eastAsia="仿宋_GB2312"/>
          <w:sz w:val="28"/>
          <w:szCs w:val="28"/>
        </w:rPr>
      </w:pPr>
      <w:r>
        <w:rPr>
          <w:rFonts w:ascii="Times New Roman" w:hAnsi="Times New Roman" w:eastAsia="仿宋_GB2312"/>
          <w:bCs/>
          <w:sz w:val="28"/>
          <w:szCs w:val="28"/>
        </w:rPr>
        <w:t>队  长</w:t>
      </w:r>
      <w:r>
        <w:rPr>
          <w:rFonts w:ascii="Times New Roman" w:hAnsi="Times New Roman" w:eastAsia="仿宋_GB2312"/>
          <w:sz w:val="28"/>
          <w:szCs w:val="28"/>
        </w:rPr>
        <w:t xml:space="preserve">  宋家胜 男  区卫监所  副主任医师 传染病控制  13961317271</w:t>
      </w:r>
    </w:p>
    <w:p w14:paraId="1369B2B7">
      <w:pPr>
        <w:spacing w:line="540" w:lineRule="exact"/>
        <w:rPr>
          <w:rFonts w:ascii="Times New Roman" w:hAnsi="Times New Roman" w:eastAsia="仿宋_GB2312"/>
          <w:sz w:val="28"/>
          <w:szCs w:val="28"/>
        </w:rPr>
      </w:pPr>
      <w:r>
        <w:rPr>
          <w:rFonts w:ascii="Times New Roman" w:hAnsi="Times New Roman" w:eastAsia="仿宋_GB2312"/>
          <w:bCs/>
          <w:sz w:val="28"/>
          <w:szCs w:val="28"/>
        </w:rPr>
        <w:t>联络员</w:t>
      </w:r>
      <w:r>
        <w:rPr>
          <w:rFonts w:ascii="Times New Roman" w:hAnsi="Times New Roman" w:eastAsia="仿宋_GB2312"/>
          <w:sz w:val="28"/>
          <w:szCs w:val="28"/>
        </w:rPr>
        <w:t xml:space="preserve">  张双龙 男  区卫监所  主治医师   传染病控制  13675297205</w:t>
      </w:r>
    </w:p>
    <w:p w14:paraId="2859BC8C">
      <w:pPr>
        <w:spacing w:line="540" w:lineRule="exact"/>
        <w:rPr>
          <w:rFonts w:ascii="Times New Roman" w:hAnsi="Times New Roman" w:eastAsia="仿宋_GB2312"/>
          <w:sz w:val="28"/>
          <w:szCs w:val="28"/>
        </w:rPr>
      </w:pPr>
      <w:r>
        <w:rPr>
          <w:rFonts w:ascii="Times New Roman" w:hAnsi="Times New Roman" w:eastAsia="仿宋_GB2312"/>
          <w:bCs/>
          <w:sz w:val="28"/>
          <w:szCs w:val="28"/>
        </w:rPr>
        <w:t>队  员</w:t>
      </w:r>
      <w:r>
        <w:rPr>
          <w:rFonts w:ascii="Times New Roman" w:hAnsi="Times New Roman" w:eastAsia="仿宋_GB2312"/>
          <w:sz w:val="28"/>
          <w:szCs w:val="28"/>
        </w:rPr>
        <w:t xml:space="preserve">  许  睿 男  区卫监所  主治医师   公共卫生    18795518279</w:t>
      </w:r>
    </w:p>
    <w:p w14:paraId="4386E10E">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尚  峰  男  区卫监所  公卫医师  预防医学    18205136050</w:t>
      </w:r>
    </w:p>
    <w:p w14:paraId="69B37D06">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李存禄 男  区卫监所  公卫医师   公共卫生    18896621655</w:t>
      </w:r>
    </w:p>
    <w:p w14:paraId="7116E49C">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盛  皓 女  区卫监所  公卫医师   预防医学    15161349253</w:t>
      </w:r>
    </w:p>
    <w:p w14:paraId="0B2E9006">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李晓辉 男  区卫监所  公卫医师   预防医学    17768591989</w:t>
      </w:r>
    </w:p>
    <w:p w14:paraId="4F9E146F">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刘季婷 女  区卫监所  公卫医师   预防医学    18861350220</w:t>
      </w:r>
    </w:p>
    <w:p w14:paraId="51D36F89">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江佳佳 女  中云中心   护师       护理       17751875008</w:t>
      </w:r>
    </w:p>
    <w:p w14:paraId="01318F6B">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胡  玲 女  中云中心  护师        护理       18061381639</w:t>
      </w:r>
    </w:p>
    <w:p w14:paraId="57F1D96E">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王舒育 女  中云中心  护师        护理       17751875095</w:t>
      </w:r>
    </w:p>
    <w:p w14:paraId="24C1ABF4">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张廷春 女  中云中心  护师        护理       17751875005</w:t>
      </w:r>
    </w:p>
    <w:p w14:paraId="7CECB850">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颜廷春 男  朝阳中心  检验师      检验       18961380986</w:t>
      </w:r>
    </w:p>
    <w:p w14:paraId="6D506059">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江新功 男  朝阳中心  助理医师    放射       18961380158</w:t>
      </w:r>
    </w:p>
    <w:p w14:paraId="50250AA6">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金立涛  男  朝阳中心  助理医师   口腔       13655138305</w:t>
      </w:r>
    </w:p>
    <w:p w14:paraId="2931999A">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杨传洲 男  朝阳中心  放射技师      放射     18936608218</w:t>
      </w:r>
    </w:p>
    <w:p w14:paraId="49000F55">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孟  勇 男  猴嘴中心  医士          临床     18961397077</w:t>
      </w:r>
    </w:p>
    <w:p w14:paraId="1EA8015E">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詹真睿 男  猴嘴中心  工程师        计算机   18961397068</w:t>
      </w:r>
    </w:p>
    <w:p w14:paraId="2258E60E">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章学忠 男  猴嘴中心  高级工                 18961397108</w:t>
      </w:r>
    </w:p>
    <w:p w14:paraId="5A534618">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张三友 男  猴嘴中心  高级工                 13174199789</w:t>
      </w:r>
    </w:p>
    <w:p w14:paraId="4CC52DBE">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王绪九 男  清新服务 高级防治员   病媒防治   13056080893</w:t>
      </w:r>
    </w:p>
    <w:p w14:paraId="6CD4632C">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胡新英 女  清新服务  初级防治员  病媒防治   18105138231</w:t>
      </w:r>
    </w:p>
    <w:p w14:paraId="3C8DD273">
      <w:pPr>
        <w:spacing w:line="540" w:lineRule="exact"/>
        <w:rPr>
          <w:rFonts w:ascii="Times New Roman" w:hAnsi="Times New Roman" w:eastAsia="黑体"/>
          <w:sz w:val="32"/>
          <w:szCs w:val="32"/>
        </w:rPr>
      </w:pPr>
      <w:r>
        <w:rPr>
          <w:rFonts w:ascii="Times New Roman" w:hAnsi="Times New Roman" w:eastAsia="黑体"/>
          <w:sz w:val="32"/>
          <w:szCs w:val="32"/>
        </w:rPr>
        <w:t>三、心理健康服务队伍</w:t>
      </w:r>
    </w:p>
    <w:p w14:paraId="17AA66C5">
      <w:pPr>
        <w:spacing w:line="540" w:lineRule="exact"/>
        <w:rPr>
          <w:rFonts w:ascii="Times New Roman" w:hAnsi="Times New Roman" w:eastAsia="楷体_GB2312"/>
          <w:sz w:val="28"/>
          <w:szCs w:val="28"/>
        </w:rPr>
      </w:pPr>
      <w:r>
        <w:rPr>
          <w:rFonts w:ascii="Times New Roman" w:hAnsi="Times New Roman" w:eastAsia="楷体_GB2312"/>
          <w:sz w:val="28"/>
          <w:szCs w:val="28"/>
        </w:rPr>
        <w:t>职  务  姓  名 性别  单  位  职  称     专业方向    电  话</w:t>
      </w:r>
    </w:p>
    <w:p w14:paraId="071ADB1A">
      <w:pPr>
        <w:spacing w:line="540" w:lineRule="exact"/>
        <w:rPr>
          <w:rFonts w:ascii="Times New Roman" w:hAnsi="Times New Roman" w:eastAsia="仿宋_GB2312"/>
          <w:sz w:val="28"/>
          <w:szCs w:val="28"/>
        </w:rPr>
      </w:pPr>
      <w:r>
        <w:rPr>
          <w:rFonts w:ascii="Times New Roman" w:hAnsi="Times New Roman" w:eastAsia="仿宋_GB2312"/>
          <w:bCs/>
          <w:sz w:val="28"/>
          <w:szCs w:val="28"/>
        </w:rPr>
        <w:t>专  干</w:t>
      </w:r>
      <w:r>
        <w:rPr>
          <w:rFonts w:ascii="Times New Roman" w:hAnsi="Times New Roman" w:eastAsia="仿宋_GB2312"/>
          <w:sz w:val="28"/>
          <w:szCs w:val="28"/>
        </w:rPr>
        <w:t xml:space="preserve">  陈华林 男  猴嘴中心  副主任医师    临床     18961397002</w:t>
      </w:r>
    </w:p>
    <w:p w14:paraId="7BC60CF1">
      <w:pPr>
        <w:spacing w:line="540" w:lineRule="exact"/>
        <w:ind w:firstLine="840" w:firstLineChars="300"/>
        <w:rPr>
          <w:rFonts w:ascii="Times New Roman" w:hAnsi="Times New Roman" w:eastAsia="仿宋_GB2312"/>
          <w:sz w:val="28"/>
          <w:szCs w:val="28"/>
        </w:rPr>
      </w:pPr>
      <w:r>
        <w:rPr>
          <w:rFonts w:ascii="Times New Roman" w:hAnsi="Times New Roman" w:eastAsia="仿宋_GB2312"/>
          <w:sz w:val="28"/>
          <w:szCs w:val="28"/>
        </w:rPr>
        <w:t xml:space="preserve">  俞广芹 女  中云中心  主任护师      护理     17751897006</w:t>
      </w:r>
    </w:p>
    <w:p w14:paraId="3138A793">
      <w:pPr>
        <w:spacing w:line="540" w:lineRule="exact"/>
        <w:ind w:firstLine="840" w:firstLineChars="300"/>
        <w:rPr>
          <w:rFonts w:ascii="Times New Roman" w:hAnsi="Times New Roman" w:eastAsia="仿宋_GB2312"/>
          <w:sz w:val="28"/>
          <w:szCs w:val="28"/>
        </w:rPr>
      </w:pPr>
      <w:r>
        <w:rPr>
          <w:rFonts w:ascii="Times New Roman" w:hAnsi="Times New Roman" w:eastAsia="仿宋_GB2312"/>
          <w:sz w:val="28"/>
          <w:szCs w:val="28"/>
        </w:rPr>
        <w:t xml:space="preserve">  顾方亮 男  朝阳中心  主治医师      全科     18000168532</w:t>
      </w:r>
    </w:p>
    <w:p w14:paraId="7C2FF336">
      <w:pPr>
        <w:spacing w:line="540" w:lineRule="exact"/>
        <w:rPr>
          <w:rFonts w:ascii="Times New Roman" w:hAnsi="Times New Roman" w:eastAsia="仿宋_GB2312"/>
          <w:sz w:val="28"/>
          <w:szCs w:val="28"/>
        </w:rPr>
      </w:pPr>
      <w:r>
        <w:rPr>
          <w:rFonts w:ascii="Times New Roman" w:hAnsi="Times New Roman" w:eastAsia="仿宋_GB2312"/>
          <w:bCs/>
          <w:sz w:val="28"/>
          <w:szCs w:val="28"/>
        </w:rPr>
        <w:t>队  员</w:t>
      </w:r>
      <w:r>
        <w:rPr>
          <w:rFonts w:ascii="Times New Roman" w:hAnsi="Times New Roman" w:eastAsia="仿宋_GB2312"/>
          <w:sz w:val="28"/>
          <w:szCs w:val="28"/>
        </w:rPr>
        <w:t xml:space="preserve">  徐金凤 女  中云中心  主管护师      护理     18061381858</w:t>
      </w:r>
    </w:p>
    <w:p w14:paraId="58FD3DC3">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耿金丽 女  朝阳中心  主治医师    中医全科   18061348760</w:t>
      </w:r>
    </w:p>
    <w:p w14:paraId="2BBA3148">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赵化强 男 猴嘴中心   副主任医师    临床     18961397069</w:t>
      </w:r>
    </w:p>
    <w:p w14:paraId="315E64F2">
      <w:pPr>
        <w:spacing w:line="540" w:lineRule="exact"/>
        <w:ind w:firstLine="1120" w:firstLineChars="400"/>
        <w:rPr>
          <w:rFonts w:ascii="Times New Roman" w:hAnsi="Times New Roman" w:eastAsia="仿宋_GB2312"/>
          <w:sz w:val="28"/>
          <w:szCs w:val="28"/>
        </w:rPr>
      </w:pPr>
      <w:r>
        <w:rPr>
          <w:rFonts w:ascii="Times New Roman" w:hAnsi="Times New Roman" w:eastAsia="仿宋_GB2312"/>
          <w:sz w:val="28"/>
          <w:szCs w:val="28"/>
        </w:rPr>
        <w:t>苏长荣 女 张庄村卫生室  助理医师   临床     15062919681</w:t>
      </w:r>
    </w:p>
    <w:p w14:paraId="0A35DDBA">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颜  静 女  猴嘴街道     护师       护理     15396993002</w:t>
      </w:r>
    </w:p>
    <w:p w14:paraId="20C2CCDE">
      <w:pPr>
        <w:spacing w:line="540" w:lineRule="exact"/>
        <w:ind w:firstLine="1120" w:firstLineChars="400"/>
        <w:rPr>
          <w:rFonts w:ascii="Times New Roman" w:hAnsi="Times New Roman" w:eastAsia="仿宋_GB2312"/>
          <w:sz w:val="28"/>
          <w:szCs w:val="28"/>
        </w:rPr>
      </w:pPr>
      <w:r>
        <w:rPr>
          <w:rFonts w:ascii="Times New Roman" w:hAnsi="Times New Roman" w:eastAsia="仿宋_GB2312"/>
          <w:sz w:val="28"/>
          <w:szCs w:val="28"/>
        </w:rPr>
        <w:t>陈启良 男 范庄居委会                        13056087175</w:t>
      </w:r>
    </w:p>
    <w:p w14:paraId="18471E15">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陈玉霞 女 山后居委会                        13912155218</w:t>
      </w:r>
    </w:p>
    <w:p w14:paraId="6E6EF021">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宋红梅 女   新光居委会                      15061332707</w:t>
      </w:r>
    </w:p>
    <w:p w14:paraId="36298A22">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焦  玲 女  云门寺村委会                     15861221730</w:t>
      </w:r>
    </w:p>
    <w:p w14:paraId="0BC8CE68">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王广杰 男   黄岭村委会                      15996117831</w:t>
      </w:r>
    </w:p>
    <w:p w14:paraId="79A273F9">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孙桂林 女  西诸朝居委会                     13016915508</w:t>
      </w:r>
    </w:p>
    <w:p w14:paraId="1CF1CB8E">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孙学锦 男  东巷村委会                       15996146859</w:t>
      </w:r>
    </w:p>
    <w:p w14:paraId="67180D7C">
      <w:pPr>
        <w:spacing w:line="540" w:lineRule="exact"/>
        <w:rPr>
          <w:rFonts w:ascii="Times New Roman" w:hAnsi="Times New Roman" w:eastAsia="黑体"/>
          <w:sz w:val="32"/>
          <w:szCs w:val="32"/>
        </w:rPr>
        <w:sectPr>
          <w:pgSz w:w="11906" w:h="16838"/>
          <w:pgMar w:top="2098" w:right="1474" w:bottom="1985" w:left="1588" w:header="851" w:footer="1588" w:gutter="0"/>
          <w:cols w:space="425" w:num="1"/>
          <w:docGrid w:linePitch="312" w:charSpace="0"/>
        </w:sectPr>
      </w:pPr>
    </w:p>
    <w:p w14:paraId="3BE243F5">
      <w:pPr>
        <w:shd w:val="clear" w:color="auto" w:fill="FFFFFF"/>
        <w:topLinePunct/>
        <w:adjustRightInd w:val="0"/>
        <w:snapToGrid w:val="0"/>
        <w:spacing w:line="560" w:lineRule="exact"/>
        <w:jc w:val="center"/>
        <w:rPr>
          <w:rFonts w:ascii="Times New Roman" w:hAnsi="Times New Roman" w:eastAsia="方正小标宋简体"/>
          <w:kern w:val="0"/>
          <w:sz w:val="44"/>
          <w:szCs w:val="44"/>
          <w:shd w:val="clear" w:color="auto" w:fill="FFFFFF"/>
        </w:rPr>
      </w:pPr>
      <w:r>
        <w:rPr>
          <w:rFonts w:ascii="Times New Roman" w:hAnsi="Times New Roman" w:eastAsia="方正小标宋简体"/>
          <w:kern w:val="0"/>
          <w:sz w:val="44"/>
          <w:szCs w:val="44"/>
          <w:shd w:val="clear" w:color="auto" w:fill="FFFFFF"/>
        </w:rPr>
        <w:t>连云港经济技术开发区公共文化场所</w:t>
      </w:r>
    </w:p>
    <w:p w14:paraId="6179FE1B">
      <w:pPr>
        <w:shd w:val="clear" w:color="auto" w:fill="FFFFFF"/>
        <w:topLinePunct/>
        <w:adjustRightInd w:val="0"/>
        <w:snapToGrid w:val="0"/>
        <w:spacing w:line="560" w:lineRule="exact"/>
        <w:jc w:val="center"/>
        <w:rPr>
          <w:rFonts w:ascii="Times New Roman" w:hAnsi="Times New Roman" w:eastAsia="方正小标宋简体"/>
          <w:kern w:val="0"/>
          <w:sz w:val="44"/>
          <w:szCs w:val="44"/>
          <w:shd w:val="clear" w:color="auto" w:fill="FFFFFF"/>
        </w:rPr>
      </w:pPr>
      <w:r>
        <w:rPr>
          <w:rFonts w:ascii="Times New Roman" w:hAnsi="Times New Roman" w:eastAsia="方正小标宋简体"/>
          <w:kern w:val="0"/>
          <w:sz w:val="44"/>
          <w:szCs w:val="44"/>
          <w:shd w:val="clear" w:color="auto" w:fill="FFFFFF"/>
        </w:rPr>
        <w:t>和文化活动突发事件应急预案</w:t>
      </w:r>
    </w:p>
    <w:p w14:paraId="4BFDB853">
      <w:pPr>
        <w:shd w:val="clear" w:color="auto" w:fill="FFFFFF"/>
        <w:topLinePunct/>
        <w:adjustRightInd w:val="0"/>
        <w:snapToGrid w:val="0"/>
        <w:spacing w:line="560" w:lineRule="exact"/>
        <w:jc w:val="center"/>
        <w:rPr>
          <w:rFonts w:ascii="Times New Roman" w:hAnsi="Times New Roman" w:eastAsia="仿宋_GB2312"/>
          <w:kern w:val="0"/>
          <w:sz w:val="32"/>
          <w:szCs w:val="32"/>
          <w:shd w:val="clear" w:color="auto" w:fill="FFFFFF"/>
        </w:rPr>
      </w:pPr>
    </w:p>
    <w:p w14:paraId="77B82A79">
      <w:pPr>
        <w:shd w:val="clear" w:color="auto" w:fill="FFFFFF"/>
        <w:topLinePunct/>
        <w:adjustRightInd w:val="0"/>
        <w:snapToGrid w:val="0"/>
        <w:spacing w:line="600" w:lineRule="exact"/>
        <w:jc w:val="left"/>
        <w:rPr>
          <w:rFonts w:ascii="Times New Roman" w:hAnsi="Times New Roman" w:eastAsia="黑体"/>
          <w:kern w:val="0"/>
          <w:sz w:val="32"/>
          <w:szCs w:val="32"/>
          <w:shd w:val="clear" w:color="auto" w:fill="FFFFFF"/>
        </w:rPr>
      </w:pPr>
      <w:r>
        <w:rPr>
          <w:rFonts w:ascii="Times New Roman" w:hAnsi="Times New Roman" w:eastAsia="黑体"/>
          <w:kern w:val="0"/>
          <w:sz w:val="32"/>
          <w:szCs w:val="32"/>
          <w:shd w:val="clear" w:color="auto" w:fill="FFFFFF"/>
        </w:rPr>
        <w:t>1  总则</w:t>
      </w:r>
    </w:p>
    <w:p w14:paraId="586D0DA4">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1.1编制目的</w:t>
      </w:r>
    </w:p>
    <w:p w14:paraId="3F536C2A">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1.2编制依据</w:t>
      </w:r>
    </w:p>
    <w:p w14:paraId="2734527B">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1.3适用范围</w:t>
      </w:r>
    </w:p>
    <w:p w14:paraId="1F19ED85">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1.4工作原则</w:t>
      </w:r>
    </w:p>
    <w:p w14:paraId="1E5CFC5F">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1.5突发事件分级</w:t>
      </w:r>
    </w:p>
    <w:p w14:paraId="14CDD390">
      <w:pPr>
        <w:shd w:val="clear" w:color="auto" w:fill="FFFFFF"/>
        <w:topLinePunct/>
        <w:adjustRightInd w:val="0"/>
        <w:snapToGrid w:val="0"/>
        <w:spacing w:line="600" w:lineRule="exact"/>
        <w:jc w:val="left"/>
        <w:rPr>
          <w:rFonts w:ascii="Times New Roman" w:hAnsi="Times New Roman" w:eastAsia="黑体"/>
          <w:kern w:val="0"/>
          <w:sz w:val="32"/>
          <w:szCs w:val="32"/>
          <w:shd w:val="clear" w:color="auto" w:fill="FFFFFF"/>
        </w:rPr>
      </w:pPr>
      <w:r>
        <w:rPr>
          <w:rFonts w:ascii="Times New Roman" w:hAnsi="Times New Roman" w:eastAsia="黑体"/>
          <w:kern w:val="0"/>
          <w:sz w:val="32"/>
          <w:szCs w:val="32"/>
          <w:shd w:val="clear" w:color="auto" w:fill="FFFFFF"/>
        </w:rPr>
        <w:t>2  应急组织体系及职责</w:t>
      </w:r>
    </w:p>
    <w:p w14:paraId="5D2D3C8E">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2.1应急指挥机构</w:t>
      </w:r>
    </w:p>
    <w:p w14:paraId="38C12BE2">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2.2区文化专项应急指挥部及职责</w:t>
      </w:r>
    </w:p>
    <w:p w14:paraId="0B28F7CE">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2.3区文化专项应急指挥部办公室及职责</w:t>
      </w:r>
    </w:p>
    <w:p w14:paraId="7FA3A677">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2.4 成员单位职责</w:t>
      </w:r>
    </w:p>
    <w:p w14:paraId="0A55F4BE">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2.5现场应急指挥部及职责</w:t>
      </w:r>
    </w:p>
    <w:p w14:paraId="3EDE8C7B">
      <w:pPr>
        <w:shd w:val="clear" w:color="auto" w:fill="FFFFFF"/>
        <w:topLinePunct/>
        <w:adjustRightInd w:val="0"/>
        <w:snapToGrid w:val="0"/>
        <w:spacing w:line="600" w:lineRule="exact"/>
        <w:jc w:val="left"/>
        <w:rPr>
          <w:rFonts w:ascii="Times New Roman" w:hAnsi="Times New Roman" w:eastAsia="黑体"/>
          <w:kern w:val="0"/>
          <w:sz w:val="32"/>
          <w:szCs w:val="32"/>
          <w:shd w:val="clear" w:color="auto" w:fill="FFFFFF"/>
        </w:rPr>
      </w:pPr>
      <w:r>
        <w:rPr>
          <w:rFonts w:ascii="Times New Roman" w:hAnsi="Times New Roman" w:eastAsia="黑体"/>
          <w:kern w:val="0"/>
          <w:sz w:val="32"/>
          <w:szCs w:val="32"/>
          <w:shd w:val="clear" w:color="auto" w:fill="FFFFFF"/>
        </w:rPr>
        <w:t>3  预防预警机制</w:t>
      </w:r>
    </w:p>
    <w:p w14:paraId="585F644D">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3.1预防预警信息</w:t>
      </w:r>
    </w:p>
    <w:p w14:paraId="355B8EE2">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3.2预防预警行动</w:t>
      </w:r>
    </w:p>
    <w:p w14:paraId="076C4BA4">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3.3预警支持系统</w:t>
      </w:r>
    </w:p>
    <w:p w14:paraId="68F6710E">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3.4预警分级</w:t>
      </w:r>
    </w:p>
    <w:p w14:paraId="505ED825">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3.5预警发布</w:t>
      </w:r>
    </w:p>
    <w:p w14:paraId="7BC50FEA">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3.6预警响应</w:t>
      </w:r>
    </w:p>
    <w:p w14:paraId="6B95BA61">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3.7预警变更与解除</w:t>
      </w:r>
    </w:p>
    <w:p w14:paraId="29A9669D">
      <w:pPr>
        <w:shd w:val="clear" w:color="auto" w:fill="FFFFFF"/>
        <w:topLinePunct/>
        <w:adjustRightInd w:val="0"/>
        <w:snapToGrid w:val="0"/>
        <w:spacing w:line="600" w:lineRule="exact"/>
        <w:jc w:val="left"/>
        <w:rPr>
          <w:rFonts w:ascii="Times New Roman" w:hAnsi="Times New Roman" w:eastAsia="黑体"/>
          <w:kern w:val="0"/>
          <w:sz w:val="32"/>
          <w:szCs w:val="32"/>
          <w:shd w:val="clear" w:color="auto" w:fill="FFFFFF"/>
        </w:rPr>
      </w:pPr>
      <w:r>
        <w:rPr>
          <w:rFonts w:ascii="Times New Roman" w:hAnsi="Times New Roman" w:eastAsia="黑体"/>
          <w:kern w:val="0"/>
          <w:sz w:val="32"/>
          <w:szCs w:val="32"/>
          <w:shd w:val="clear" w:color="auto" w:fill="FFFFFF"/>
        </w:rPr>
        <w:t>4  信息报告</w:t>
      </w:r>
    </w:p>
    <w:p w14:paraId="79C05B8F">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4.1事故信息报告</w:t>
      </w:r>
    </w:p>
    <w:p w14:paraId="69A9036B">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4.2报告时限和程度</w:t>
      </w:r>
    </w:p>
    <w:p w14:paraId="60432DE1">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4.3报告内容</w:t>
      </w:r>
    </w:p>
    <w:p w14:paraId="65DE4543">
      <w:pPr>
        <w:shd w:val="clear" w:color="auto" w:fill="FFFFFF"/>
        <w:topLinePunct/>
        <w:adjustRightInd w:val="0"/>
        <w:snapToGrid w:val="0"/>
        <w:spacing w:line="600" w:lineRule="exact"/>
        <w:jc w:val="left"/>
        <w:rPr>
          <w:rFonts w:ascii="Times New Roman" w:hAnsi="Times New Roman" w:eastAsia="黑体"/>
          <w:kern w:val="0"/>
          <w:sz w:val="32"/>
          <w:szCs w:val="32"/>
          <w:shd w:val="clear" w:color="auto" w:fill="FFFFFF"/>
        </w:rPr>
      </w:pPr>
      <w:r>
        <w:rPr>
          <w:rFonts w:ascii="Times New Roman" w:hAnsi="Times New Roman" w:eastAsia="黑体"/>
          <w:kern w:val="0"/>
          <w:sz w:val="32"/>
          <w:szCs w:val="32"/>
          <w:shd w:val="clear" w:color="auto" w:fill="FFFFFF"/>
        </w:rPr>
        <w:t>5  应急处置</w:t>
      </w:r>
    </w:p>
    <w:p w14:paraId="63380E8E">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5.1先期处置</w:t>
      </w:r>
    </w:p>
    <w:p w14:paraId="4B5419BF">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5.2响应分级</w:t>
      </w:r>
    </w:p>
    <w:p w14:paraId="3DBC66BF">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5.3指挥协调</w:t>
      </w:r>
    </w:p>
    <w:p w14:paraId="72B97093">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5.4信息发布</w:t>
      </w:r>
    </w:p>
    <w:p w14:paraId="1BF49C85">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5.5应急结束</w:t>
      </w:r>
    </w:p>
    <w:p w14:paraId="23C345BA">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5.6后期处置</w:t>
      </w:r>
    </w:p>
    <w:p w14:paraId="46977DB8">
      <w:pPr>
        <w:shd w:val="clear" w:color="auto" w:fill="FFFFFF"/>
        <w:topLinePunct/>
        <w:adjustRightInd w:val="0"/>
        <w:snapToGrid w:val="0"/>
        <w:spacing w:line="600" w:lineRule="exact"/>
        <w:jc w:val="left"/>
        <w:rPr>
          <w:rFonts w:ascii="Times New Roman" w:hAnsi="Times New Roman" w:eastAsia="黑体"/>
          <w:kern w:val="0"/>
          <w:sz w:val="32"/>
          <w:szCs w:val="32"/>
          <w:shd w:val="clear" w:color="auto" w:fill="FFFFFF"/>
        </w:rPr>
      </w:pPr>
      <w:r>
        <w:rPr>
          <w:rFonts w:ascii="Times New Roman" w:hAnsi="Times New Roman" w:eastAsia="黑体"/>
          <w:kern w:val="0"/>
          <w:sz w:val="32"/>
          <w:szCs w:val="32"/>
          <w:shd w:val="clear" w:color="auto" w:fill="FFFFFF"/>
        </w:rPr>
        <w:t>6  应急保障</w:t>
      </w:r>
    </w:p>
    <w:p w14:paraId="0FE2B685">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6.1信息保障</w:t>
      </w:r>
    </w:p>
    <w:p w14:paraId="602DEA08">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6.2物资保障</w:t>
      </w:r>
    </w:p>
    <w:p w14:paraId="7209ACFF">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6.3人员保障</w:t>
      </w:r>
    </w:p>
    <w:p w14:paraId="35859068">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6.4宣传保障</w:t>
      </w:r>
    </w:p>
    <w:p w14:paraId="1145F19A">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6.5医疗保障</w:t>
      </w:r>
    </w:p>
    <w:p w14:paraId="4069CD1C">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6.6交通保障</w:t>
      </w:r>
    </w:p>
    <w:p w14:paraId="54A3A31B">
      <w:pPr>
        <w:shd w:val="clear" w:color="auto" w:fill="FFFFFF"/>
        <w:topLinePunct/>
        <w:adjustRightInd w:val="0"/>
        <w:snapToGrid w:val="0"/>
        <w:spacing w:line="600" w:lineRule="exact"/>
        <w:jc w:val="left"/>
        <w:rPr>
          <w:rFonts w:ascii="Times New Roman" w:hAnsi="Times New Roman" w:eastAsia="黑体"/>
          <w:kern w:val="0"/>
          <w:sz w:val="32"/>
          <w:szCs w:val="32"/>
          <w:shd w:val="clear" w:color="auto" w:fill="FFFFFF"/>
        </w:rPr>
      </w:pPr>
      <w:r>
        <w:rPr>
          <w:rFonts w:ascii="Times New Roman" w:hAnsi="Times New Roman" w:eastAsia="黑体"/>
          <w:kern w:val="0"/>
          <w:sz w:val="32"/>
          <w:szCs w:val="32"/>
          <w:shd w:val="clear" w:color="auto" w:fill="FFFFFF"/>
        </w:rPr>
        <w:t>7</w:t>
      </w:r>
      <w:bookmarkStart w:id="231" w:name="_Hlk47282372"/>
      <w:r>
        <w:rPr>
          <w:rFonts w:ascii="Times New Roman" w:hAnsi="Times New Roman" w:eastAsia="黑体"/>
          <w:kern w:val="0"/>
          <w:sz w:val="32"/>
          <w:szCs w:val="32"/>
          <w:shd w:val="clear" w:color="auto" w:fill="FFFFFF"/>
        </w:rPr>
        <w:t xml:space="preserve">  应急教育与演练</w:t>
      </w:r>
    </w:p>
    <w:bookmarkEnd w:id="231"/>
    <w:p w14:paraId="66BDE69A">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7.1应急教育</w:t>
      </w:r>
    </w:p>
    <w:p w14:paraId="32595563">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7.2预案演练</w:t>
      </w:r>
    </w:p>
    <w:p w14:paraId="235087EE">
      <w:pPr>
        <w:spacing w:line="600" w:lineRule="exact"/>
        <w:ind w:firstLine="42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7.3预案评估</w:t>
      </w:r>
    </w:p>
    <w:p w14:paraId="4CE9C329">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7.4责任追究</w:t>
      </w:r>
    </w:p>
    <w:p w14:paraId="32061184">
      <w:pPr>
        <w:shd w:val="clear" w:color="auto" w:fill="FFFFFF"/>
        <w:topLinePunct/>
        <w:adjustRightInd w:val="0"/>
        <w:snapToGrid w:val="0"/>
        <w:spacing w:line="600" w:lineRule="exact"/>
        <w:jc w:val="left"/>
        <w:rPr>
          <w:rFonts w:ascii="Times New Roman" w:hAnsi="Times New Roman" w:eastAsia="黑体"/>
          <w:kern w:val="0"/>
          <w:sz w:val="32"/>
          <w:szCs w:val="32"/>
          <w:shd w:val="clear" w:color="auto" w:fill="FFFFFF"/>
        </w:rPr>
      </w:pPr>
      <w:r>
        <w:rPr>
          <w:rFonts w:ascii="Times New Roman" w:hAnsi="Times New Roman" w:eastAsia="黑体"/>
          <w:kern w:val="0"/>
          <w:sz w:val="32"/>
          <w:szCs w:val="32"/>
          <w:shd w:val="clear" w:color="auto" w:fill="FFFFFF"/>
        </w:rPr>
        <w:t>8  附则</w:t>
      </w:r>
    </w:p>
    <w:p w14:paraId="2C8AAF2D">
      <w:pPr>
        <w:shd w:val="clear" w:color="auto" w:fill="FFFFFF"/>
        <w:topLinePunct/>
        <w:adjustRightInd w:val="0"/>
        <w:snapToGrid w:val="0"/>
        <w:spacing w:line="560" w:lineRule="exact"/>
        <w:jc w:val="center"/>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br w:type="page"/>
      </w:r>
    </w:p>
    <w:p w14:paraId="5296837A">
      <w:pPr>
        <w:shd w:val="clear" w:color="auto" w:fill="FFFFFF"/>
        <w:topLinePunct/>
        <w:adjustRightInd w:val="0"/>
        <w:snapToGrid w:val="0"/>
        <w:spacing w:line="560" w:lineRule="exact"/>
        <w:ind w:firstLine="640" w:firstLineChars="200"/>
        <w:rPr>
          <w:rFonts w:ascii="Times New Roman" w:hAnsi="Times New Roman" w:eastAsia="黑体"/>
          <w:kern w:val="0"/>
          <w:sz w:val="32"/>
          <w:szCs w:val="32"/>
          <w:shd w:val="clear" w:color="auto" w:fill="FFFFFF"/>
        </w:rPr>
      </w:pPr>
      <w:r>
        <w:rPr>
          <w:rFonts w:ascii="Times New Roman" w:hAnsi="Times New Roman" w:eastAsia="黑体"/>
          <w:kern w:val="0"/>
          <w:sz w:val="32"/>
          <w:szCs w:val="32"/>
          <w:shd w:val="clear" w:color="auto" w:fill="FFFFFF"/>
        </w:rPr>
        <w:t>1  总则</w:t>
      </w:r>
    </w:p>
    <w:p w14:paraId="4FCBC0D4">
      <w:pPr>
        <w:spacing w:line="56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1.1  编制目的</w:t>
      </w:r>
    </w:p>
    <w:p w14:paraId="0ABE7EDB">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为进一步规范全区公共文化场所和文化活动突发事件的应急管理和应急响应程序，有效预防和妥善处置公共文化场所和文化活动中的突发事件，高效组织应急救援工作，最大限度减少人员伤亡、财产损失，保持社会稳定发展，特编制本预案。</w:t>
      </w:r>
    </w:p>
    <w:p w14:paraId="678FA7D9">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1.2  编制依据</w:t>
      </w:r>
    </w:p>
    <w:p w14:paraId="6CA621D0">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根据《中华人民共和国突发事件应对法》《中华人民共和国安全生产法》《国家突发公共事件总体应急预案》文旅部《公共文化场所和文化活动突发事件应急预案》《江苏省安全生产条例》《江苏省突发事件总体应急预案》《连云港市突发事件总体应急预案》等法律法规和规范性文件，结合我区实际，制定本预案。</w:t>
      </w:r>
    </w:p>
    <w:p w14:paraId="1061EDBE">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1.3  适用范围</w:t>
      </w:r>
    </w:p>
    <w:p w14:paraId="6A1DDA3C">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本预案适用于我区公共文化场所和在公共文化场所举办或经</w:t>
      </w:r>
      <w:r>
        <w:rPr>
          <w:rFonts w:ascii="Times New Roman" w:hAnsi="Times New Roman" w:eastAsia="仿宋_GB2312"/>
          <w:sz w:val="32"/>
          <w:szCs w:val="32"/>
          <w:shd w:val="clear" w:color="auto" w:fill="FFFFFF"/>
        </w:rPr>
        <w:t>相关审批部门</w:t>
      </w:r>
      <w:r>
        <w:rPr>
          <w:rFonts w:ascii="Times New Roman" w:hAnsi="Times New Roman" w:eastAsia="仿宋_GB2312"/>
          <w:kern w:val="0"/>
          <w:sz w:val="32"/>
          <w:szCs w:val="32"/>
          <w:shd w:val="clear" w:color="auto" w:fill="FFFFFF"/>
        </w:rPr>
        <w:t>审批的文化活动中一般突发事件的应急处置工作。较大及以上公共文化场所和文化活动突发事件按照国家、省、市级相关应急预案组织实施。</w:t>
      </w:r>
    </w:p>
    <w:p w14:paraId="392600DF">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（1）本预案所称公共文化场所，是指全区向公众开放的用于提供公共文化服务的建筑物、场地和设备，主要包括市图书馆分馆、文化站等建筑物。</w:t>
      </w:r>
    </w:p>
    <w:p w14:paraId="27295B97">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（2）本预案所称文化活动，是指在公共文化场所举办或经相关审批部门审批的群众性文化活动、演出活动、展览展示活动以及其他文化娱乐活动。</w:t>
      </w:r>
    </w:p>
    <w:p w14:paraId="0FA49B53">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（3）本预案所称公共文化场所和文化活动突发事件，主要包括火灾、建筑物坍塌、拥挤踩踏等事故，以及突发群体性事件。</w:t>
      </w:r>
    </w:p>
    <w:p w14:paraId="34B7567B">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1.4  工作原则</w:t>
      </w:r>
    </w:p>
    <w:p w14:paraId="7996A2B8">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（1）预防为主。加大公共文化场所和文化活动安全知识宣传普及力度，提高公共自我防护意识。细致排查公共文化场所和文化活动中各类突发事件隐患，采取有效的预防和控制措施，减少突发事件发生机率。</w:t>
      </w:r>
    </w:p>
    <w:p w14:paraId="38D43E92">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（2）依法管理。公共文化场所和文化活动突发事件预防、控制及应急处置工作，要严格按照国家、省、市、区有关法律法规、规章制度和有关规定执行。</w:t>
      </w:r>
    </w:p>
    <w:p w14:paraId="0ECEE0F4">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（3）分级负责。公共文化场所和文化活动突发事件处置，按照分级负责的行政管理体制和条块结合的文化管理体制，实行条块结合、以块为主、属地管理。</w:t>
      </w:r>
    </w:p>
    <w:p w14:paraId="198EAB32">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（4）协同应对。各类公共文化场所和文化活动主办单位应建立健全相应的预警和处置快速反应机制。建立联动协调制度，形成统一指挥、反应灵敏、功能齐全、协调有序、运转高效的应急管理机制。</w:t>
      </w:r>
    </w:p>
    <w:p w14:paraId="25016C7F">
      <w:pPr>
        <w:shd w:val="clear" w:color="auto" w:fill="FFFFFF"/>
        <w:topLinePunct/>
        <w:adjustRightInd w:val="0"/>
        <w:snapToGrid w:val="0"/>
        <w:spacing w:line="560" w:lineRule="exact"/>
        <w:ind w:firstLine="640" w:firstLineChars="200"/>
        <w:jc w:val="left"/>
        <w:rPr>
          <w:rFonts w:ascii="Times New Roman" w:hAnsi="Times New Roman" w:eastAsia="楷体_GB2312"/>
          <w:kern w:val="0"/>
          <w:sz w:val="32"/>
          <w:szCs w:val="32"/>
          <w:shd w:val="clear" w:color="auto" w:fill="FFFFFF"/>
        </w:rPr>
      </w:pPr>
      <w:r>
        <w:rPr>
          <w:rFonts w:ascii="Times New Roman" w:hAnsi="Times New Roman" w:eastAsia="楷体_GB2312"/>
          <w:kern w:val="0"/>
          <w:sz w:val="32"/>
          <w:szCs w:val="32"/>
          <w:shd w:val="clear" w:color="auto" w:fill="FFFFFF"/>
        </w:rPr>
        <w:t>1.5  突发事件分级</w:t>
      </w:r>
    </w:p>
    <w:p w14:paraId="3C6C2FBF">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根据公共文化场所和文化活动突发事件的可控性、重要程度和影响范围，由高到低划分为四级：特别重大突发事件（</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1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级）、重大突发事件（</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2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级）、较大突发事件（</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3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III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级）、一般突发事件（</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4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IV</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级）。一般突发事件，由区文旅行政部门会同有关部门依照有关规定进行评估核定；较大及以上突发事件，及时上报国家、省、市文旅行政部门。</w:t>
      </w:r>
    </w:p>
    <w:p w14:paraId="366A24FB">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1.5.1特别重大突发事件（</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1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w:t>
      </w:r>
    </w:p>
    <w:p w14:paraId="78FD0722">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（1）公共文化场所和大型文化活动中，造成30人以上死亡（含失踪），造成1亿元以上直接经济损失的火灾事故。</w:t>
      </w:r>
    </w:p>
    <w:p w14:paraId="77CA3670">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（2）大型文化活动等群体性活动中，因拥挤、踩踏等造成30人以上死亡的事故。</w:t>
      </w:r>
    </w:p>
    <w:p w14:paraId="5F0D50BB">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（3）造成10人以上死亡或30人以上受伤，严重危害社会稳定的群体性事件。</w:t>
      </w:r>
    </w:p>
    <w:p w14:paraId="26C55594">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（4）其他视情需要作为特别重大群体性事件对待的事件。</w:t>
      </w:r>
    </w:p>
    <w:p w14:paraId="5D9E421A">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1.5.2重大突发事件（</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2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w:t>
      </w:r>
    </w:p>
    <w:p w14:paraId="4F450FC4">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（1）公共文化场所和大型文化活动中，造成10人以上、30人以下死亡，造成50人以上、100人以下重伤，造成5000万元以上、1亿元以下直接经济损失的火灾事故。</w:t>
      </w:r>
    </w:p>
    <w:p w14:paraId="5CD313BC">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（2）大型文化活动等群体性活动中，因拥挤、踩踏等造成10人以上、30人以下死亡的事故。</w:t>
      </w:r>
    </w:p>
    <w:p w14:paraId="790059B2">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（3）造成3人以上、10人以下死亡，或10人以上、30人以下受伤的群体性事件。</w:t>
      </w:r>
    </w:p>
    <w:p w14:paraId="2C7F80B0">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（4）其他视情需要作为特别重大群体性事件对待的事件。</w:t>
      </w:r>
    </w:p>
    <w:p w14:paraId="4504ED80">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1.5.3较大突发事件（</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3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III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w:t>
      </w:r>
    </w:p>
    <w:p w14:paraId="5F5E5C27">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（1）公共文化场所和大型文化活动中，造成3人以上、10人以下死亡，造成5人以上、50人以下重伤，造成500万元以上、5000万元以下直接经济损失的火灾事故。</w:t>
      </w:r>
    </w:p>
    <w:p w14:paraId="2A244749">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（2）大型文化活动等群体性活动中，因拥挤、踩踏等造成3人以上、10人以下死亡的事故。</w:t>
      </w:r>
    </w:p>
    <w:p w14:paraId="69A973EB">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（3）造成3人以下死亡，10人以下受伤的群体性事件。</w:t>
      </w:r>
    </w:p>
    <w:p w14:paraId="235C77D0">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（4）其他视情需要作为较大群体性事件对待的事件。</w:t>
      </w:r>
    </w:p>
    <w:p w14:paraId="7515996A">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1.5.4一般突发事件（</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4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IV</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w:t>
      </w:r>
    </w:p>
    <w:p w14:paraId="5385CD13">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（1）公共文化场所和大型文化活动中，造成3人以下死亡，5人以下重伤，造成 500万元以下直接经济损失的火灾事故。</w:t>
      </w:r>
    </w:p>
    <w:p w14:paraId="25851D4C">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（2）大型文化活动等群体性活动中，因拥挤、踩踏等造成3人以下死亡的事故。</w:t>
      </w:r>
    </w:p>
    <w:p w14:paraId="1338615F">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（3）其他视情需要作为一般群体性事件对待的事件。</w:t>
      </w:r>
    </w:p>
    <w:p w14:paraId="570653F5">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本预案所称“以上”含本数，“以下”不含本数。</w:t>
      </w:r>
    </w:p>
    <w:p w14:paraId="35BCD46D">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黑体"/>
          <w:kern w:val="0"/>
          <w:sz w:val="32"/>
          <w:szCs w:val="32"/>
          <w:shd w:val="clear" w:color="auto" w:fill="FFFFFF"/>
        </w:rPr>
        <w:t>2  应急组织体系及职责</w:t>
      </w:r>
    </w:p>
    <w:p w14:paraId="3F2DAF2D">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2.1  应急指挥机构</w:t>
      </w:r>
    </w:p>
    <w:p w14:paraId="318F74C1">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开发区管委会成立公共文化场所和文化活动突发事件专项应急指挥部（以下简称“文化应急指挥部”），在区社会事业局设应急指挥部办公室（以下简称“指挥部办公室”）。</w:t>
      </w:r>
    </w:p>
    <w:p w14:paraId="00DFCDFC">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发生一般公共文化场所和文化活动突发事件，启动</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4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IV</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级应急响应时，由应急指挥部负责组织应急处置和救援工作；需要市有关部门支援的，提请市文化专项应急指挥部协调。</w:t>
      </w:r>
    </w:p>
    <w:p w14:paraId="2A53B2DE">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2.2  指挥部及职责</w:t>
      </w:r>
    </w:p>
    <w:p w14:paraId="1B484BF9">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文化应急指挥部总指挥由管委会分管文化的副主任担任，区社会事业局主要领导任副总指挥。</w:t>
      </w:r>
    </w:p>
    <w:p w14:paraId="0EE6D4DD">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成员：</w:t>
      </w:r>
      <w:bookmarkStart w:id="232" w:name="_Hlk47276910"/>
      <w:r>
        <w:rPr>
          <w:rFonts w:ascii="Times New Roman" w:hAnsi="Times New Roman" w:eastAsia="仿宋_GB2312"/>
          <w:kern w:val="0"/>
          <w:sz w:val="32"/>
          <w:szCs w:val="32"/>
          <w:shd w:val="clear" w:color="auto" w:fill="FFFFFF"/>
        </w:rPr>
        <w:t>区纪工委监察工委、组织宣传部、政法委、经济发展局、财政局、人力资源和社会保障局、住房和城乡建设局、社会事业局、行政审批局、综合行政执法局、应急管理局、环保局，开发区公安分局、开发区消防救援大队、国网连云港供电公司</w:t>
      </w:r>
      <w:bookmarkEnd w:id="232"/>
      <w:r>
        <w:rPr>
          <w:rFonts w:ascii="Times New Roman" w:hAnsi="Times New Roman" w:eastAsia="仿宋_GB2312"/>
          <w:kern w:val="0"/>
          <w:sz w:val="32"/>
          <w:szCs w:val="32"/>
          <w:shd w:val="clear" w:color="auto" w:fill="FFFFFF"/>
        </w:rPr>
        <w:t>，各街道办事处分管领导。</w:t>
      </w:r>
    </w:p>
    <w:p w14:paraId="29CA8694">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职责：分析、研究公共文化场所和文化活动突发事件防范与处置工作重大问题及重要决策事项；组织指挥一般公共文化场所和文化活动突发事件应急处置；负责较大突发事件的先期处置，及时向市文化专项应急指挥部报告，并在市指挥部的指导下开展应急处置各项工作；加强敏感的、可能有次生或衍生危害性的突发事件预警监测，组织专家会商研判，按规定做好信息报告、预警和应急响应，必要时提升响应级别；负责应急救援队伍建设、应急物资的储备管理及应急管理宣教培训等工作；根据突发事件的发生、发展趋势，决定启动、终止应急响应，负责组建现场应急指挥部。</w:t>
      </w:r>
    </w:p>
    <w:p w14:paraId="48D79FBB">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2.3  办公室及职责</w:t>
      </w:r>
    </w:p>
    <w:p w14:paraId="33EE5993">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办公室主任由区社会事业局主要负责人担任。</w:t>
      </w:r>
    </w:p>
    <w:p w14:paraId="7DEC12E3">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职责：负责组织落实区文化应急指挥部决定；组织、协调成员单位按照预案和职责开展突发事件应急处置工作；负责应急预案的编制、修订、演练、评估与管理；建立突发事件监测预警、信息收集制度，统一接收、处理、核实与研判，按照规定做好信息报告工作；负责组织突发事件的信息发布和舆情引导工作；承办区文化应急指挥部交办的其他任务。</w:t>
      </w:r>
    </w:p>
    <w:p w14:paraId="0CC2CDC8">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color w:val="000000"/>
          <w:kern w:val="0"/>
          <w:sz w:val="32"/>
          <w:szCs w:val="32"/>
          <w:shd w:val="clear" w:color="auto" w:fill="FFFFFF"/>
        </w:rPr>
        <w:t xml:space="preserve">2.4  </w:t>
      </w:r>
      <w:r>
        <w:rPr>
          <w:rFonts w:ascii="Times New Roman" w:hAnsi="Times New Roman" w:eastAsia="楷体"/>
          <w:kern w:val="0"/>
          <w:sz w:val="32"/>
          <w:szCs w:val="32"/>
          <w:shd w:val="clear" w:color="auto" w:fill="FFFFFF"/>
        </w:rPr>
        <w:t>成员单位职责</w:t>
      </w:r>
    </w:p>
    <w:p w14:paraId="7E65862A">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纪工委监察工委：负责根据相关规定追究相关当事人责任。</w:t>
      </w:r>
    </w:p>
    <w:p w14:paraId="7C2E5E77">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组织宣传部：负责组织协调公共文化场所和文化活动突发事件应急处置的信息发布，新闻报道和网络舆情引导等工作。</w:t>
      </w:r>
    </w:p>
    <w:p w14:paraId="68A94494">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政法委：负责监督、指导由公共文化场所和文化活动突发事件引发的行政复议、行政诉讼和行政赔偿工作；协调律师、法律援助机构等参与突发事件的调查处理工作。</w:t>
      </w:r>
    </w:p>
    <w:p w14:paraId="719AC048">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经济发展局：负责将公共文化场所和文化活动突发事件应急救援体系建设纳入相关规划；负责区级应急救援物资的收储、轮换和管理，根据动用指令按程序组织调出。</w:t>
      </w:r>
      <w:r>
        <w:rPr>
          <w:rFonts w:ascii="Times New Roman" w:hAnsi="Times New Roman" w:eastAsia="仿宋_GB2312"/>
          <w:bCs/>
          <w:kern w:val="0"/>
          <w:sz w:val="32"/>
          <w:szCs w:val="32"/>
          <w:shd w:val="clear" w:color="auto" w:fill="FFFFFF"/>
        </w:rPr>
        <w:t>负责</w:t>
      </w:r>
      <w:r>
        <w:rPr>
          <w:rFonts w:ascii="Times New Roman" w:hAnsi="Times New Roman" w:eastAsia="仿宋_GB2312"/>
          <w:bCs/>
          <w:kern w:val="0"/>
          <w:sz w:val="32"/>
          <w:szCs w:val="32"/>
        </w:rPr>
        <w:t>组织协调移动、联通、电信等通信单位建立稳定可靠、灵活便捷的应急通信保障系统，确保通信畅通。</w:t>
      </w:r>
    </w:p>
    <w:p w14:paraId="6CB337CA">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财政局：负责安排公共文化场所和文化活动突发事件应急处置工作所需经费，并做好经费使用的监督管理工作。</w:t>
      </w:r>
    </w:p>
    <w:p w14:paraId="58282433">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人力资源和社会保障局：负责协调与突发事件有关的工伤保险工作。</w:t>
      </w:r>
    </w:p>
    <w:p w14:paraId="3826BB68">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住建局：负责牵头处置公共文化场所基础设施建设工程安全生产事故的应急处置工作；组织提供施救所需的施工机械、救援器材和其他特种设备；协调突发事件现场的供水保障。负责协调处理公共文化场所和文化活动突发事件现场的环境卫生管理工作。按照区文化应急指挥部指令为应急处置提供交通运输保障。</w:t>
      </w:r>
    </w:p>
    <w:p w14:paraId="387F4E8C">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bCs/>
          <w:kern w:val="0"/>
          <w:sz w:val="32"/>
          <w:szCs w:val="32"/>
          <w:shd w:val="clear" w:color="auto" w:fill="FFFFFF"/>
        </w:rPr>
        <w:t>社会事业局：</w:t>
      </w:r>
      <w:r>
        <w:rPr>
          <w:rFonts w:ascii="Times New Roman" w:hAnsi="Times New Roman" w:eastAsia="仿宋_GB2312"/>
          <w:kern w:val="0"/>
          <w:sz w:val="32"/>
          <w:szCs w:val="32"/>
          <w:shd w:val="clear" w:color="auto" w:fill="FFFFFF"/>
        </w:rPr>
        <w:t>负责提出启动本区公共文化场所和文化活动突发事件应急预案的建议，落实区管委会有关决定事项；组织、协调本系统各有关部门参与应急响应行动，下达应急处置任务；指导和协助各街道办事处做好应急处置和恢复重建工作；研究制定公共文化场所和文化活动突发事件信息发布工作指导方针，决定或与有关方面共同研究信息发布的时间、方式，发布或经授权发布信息；研究或参与研究解决突发事件中的重大问题。</w:t>
      </w:r>
      <w:r>
        <w:rPr>
          <w:rFonts w:ascii="Times New Roman" w:hAnsi="Times New Roman" w:eastAsia="仿宋_GB2312"/>
          <w:kern w:val="0"/>
          <w:sz w:val="32"/>
          <w:szCs w:val="32"/>
        </w:rPr>
        <w:t>负责组织、协调医疗机构、疾病预防控制机构、卫生监督机构投入应急处置工作，</w:t>
      </w:r>
      <w:r>
        <w:rPr>
          <w:rFonts w:ascii="Times New Roman" w:hAnsi="Times New Roman" w:eastAsia="仿宋_GB2312"/>
          <w:kern w:val="0"/>
          <w:sz w:val="32"/>
          <w:szCs w:val="32"/>
          <w:shd w:val="clear" w:color="auto" w:fill="FFFFFF"/>
        </w:rPr>
        <w:t>承担伤员及抢险救援人员的医疗救治；指导公共文化场所从人员培训和提供医疗卫生技术支持等工作；为受伤人员提供心理咨询和帮助。负责突发事件受困人员的临时安置，遇难人员殡葬工作。</w:t>
      </w:r>
    </w:p>
    <w:p w14:paraId="0D339587">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行政审批局：负责提供经审批的群众性文化活动、演出活动、展览展示活动以及其他文化娱乐活动相关材料。</w:t>
      </w:r>
    </w:p>
    <w:p w14:paraId="3C7289E4">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综合行政执法局：负责根据实际情况和区文化应急指挥部的指令，及时提供药品、器械等医疗卫生物资和设备。</w:t>
      </w:r>
    </w:p>
    <w:p w14:paraId="240B9239">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应急局：</w:t>
      </w:r>
      <w:r>
        <w:rPr>
          <w:rFonts w:ascii="Times New Roman" w:hAnsi="Times New Roman" w:eastAsia="仿宋_GB2312"/>
          <w:kern w:val="0"/>
          <w:sz w:val="32"/>
          <w:szCs w:val="32"/>
        </w:rPr>
        <w:t>负责协调相关应急救援队伍参与</w:t>
      </w:r>
      <w:r>
        <w:rPr>
          <w:rFonts w:ascii="Times New Roman" w:hAnsi="Times New Roman" w:eastAsia="仿宋_GB2312"/>
          <w:kern w:val="0"/>
          <w:sz w:val="32"/>
          <w:szCs w:val="32"/>
          <w:shd w:val="clear" w:color="auto" w:fill="FFFFFF"/>
        </w:rPr>
        <w:t>公共文化场所和文化活动突发事件应急救援活动。</w:t>
      </w:r>
    </w:p>
    <w:p w14:paraId="13775705">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开发区公安分局：负责维护突发事件现场及周边的治安秩序、交通管制等工作；负责对事故单位相关责任人的控制；依法打击事件中扰乱社会秩序、妨害社会稳定、危害公共安全、侵犯公民人身安全和公私财产安全以及采取过激或暴力形式从事违法犯罪等行为。</w:t>
      </w:r>
    </w:p>
    <w:p w14:paraId="27B8336F">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开发区消防救援大队：负责突发事件现场的灭火以及抢救人民生命财产安全的应急救援；负责协助相关部门依法处置公共文化场所和文化活动突发事件。</w:t>
      </w:r>
    </w:p>
    <w:p w14:paraId="50D152C3">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国网连云港供电公司：负责做好本系统管辖范围内突发事件现场及周边供电设施的安全防护。</w:t>
      </w:r>
    </w:p>
    <w:p w14:paraId="5A4400E0">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各街道办事处：负责根据区文化应急指挥部的指令按照各自职能分工做好突发事件的处置工作。</w:t>
      </w:r>
    </w:p>
    <w:p w14:paraId="5ABF72CF">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2.5  现场应急指挥部及职责</w:t>
      </w:r>
    </w:p>
    <w:p w14:paraId="62C36126">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根据应急处置工作需要，区文化应急指挥部牵头，负责组建现场应急指挥部，视情成立若干工作组，并建立现场应急指挥部相关运行工作制度，分工协作有序开展现场处置和救援工作。工作组可根据实际进行增减调整。</w:t>
      </w:r>
    </w:p>
    <w:p w14:paraId="6A61BA84">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color w:val="000000"/>
          <w:kern w:val="0"/>
          <w:sz w:val="32"/>
          <w:szCs w:val="32"/>
          <w:shd w:val="clear" w:color="auto" w:fill="FFFFFF"/>
        </w:rPr>
        <w:t>（1）综合协调组：</w:t>
      </w:r>
      <w:r>
        <w:rPr>
          <w:rFonts w:ascii="Times New Roman" w:hAnsi="Times New Roman" w:eastAsia="仿宋_GB2312"/>
          <w:kern w:val="0"/>
          <w:sz w:val="32"/>
          <w:szCs w:val="32"/>
          <w:shd w:val="clear" w:color="auto" w:fill="FFFFFF"/>
        </w:rPr>
        <w:t>由区社会事业局牵头，抽调有关部门工作人员组成。负责事件处置综合协调调度工作，做好事件信息的汇总、上报，领导批示传达督办，以及综合材料、会务组织、会议纪要撰写、资料收集等工作。</w:t>
      </w:r>
    </w:p>
    <w:p w14:paraId="1705EFFD">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应急专家组：由区社会事业局牵头，区应急管理局、开发区公安分局、开发区消防救援大队等单位具有公共文化场所和文化活动突发事件预防和应急处置经验的专家为成员，负责向现场应急处置和救援工作提供专业或技术支持，提出应急处置和抢险救援措施建议，对事件造成的影响进行评价，视情况向社会公众解答有关专业技术问题等工作。</w:t>
      </w:r>
    </w:p>
    <w:p w14:paraId="0A77BA65">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宣传信息组：由区组织宣传部牵头，区社会事业局、区应急管理局、开发区公安分局、开发区消防救援大队等派员参加。负责依照部门职能通过各种渠道、手段广泛收集、了解、掌握突发事件的动态性及内幕情报信息、事件发展趋势，及时准确向区文化应急指挥部反馈信息，为领导科学决策提供依据。</w:t>
      </w:r>
    </w:p>
    <w:p w14:paraId="772748E1">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抢险处置组：由区社会事业局牵头，区应急管理局、开发区公安分局、开发区消防救援大队、国网连云港供电公司、各街道办事处为成员，其他部门和单位根据现场指挥部指令参加。负责迅速确定事件性质、危害性以及波及范围，根据事件现场情况，组织相应应急救援队伍实施现场应急抢险和救援等工作；做好现场防火、防倒塌及灭火、用电管制等安全监护工作，防止次生事件的发生；负责组织公安等力量对事件现场实施有效管控，做好现场治安、交通秩序维护。必要时，根据现场总指挥指令实施现场管制或交通管制，对经劝阻疏导不听规劝、滞留闹事、寻衅滋事，采取过激行为以及违法犯罪行为等人员，采取果断措施，进行处置。</w:t>
      </w:r>
    </w:p>
    <w:p w14:paraId="5787E5FC">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医疗救护组：由区社会事业局牵头，区综合行政执法局、各街道办事处参加。负责落实救护车辆及药品器材，组织医疗单位对事件现场伤亡人员实施应急抢救治疗。及时转移事件现场的伤亡人员，组织有关专家根据现场情况确定抢救治疗方案，转运受伤人员至医院接受进一步治疗。</w:t>
      </w:r>
    </w:p>
    <w:p w14:paraId="010A5854">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6）后勤保障组：由事发地街道办事处牵头，区经发局、财政局、住建局、社会事业局、综合行政执法局、国网连云港供电公司及事发单位（部门）为成员。负责根据应急处置和抢险需要协调组织相关单位人力、物资、车辆等，根据区文化应急指挥部指令保证所需各种装备和物资及时到位，确保处置行动的顺利进行；根据现场应急指挥部指令，按照部门职能为应急处置提供相应支持。</w:t>
      </w:r>
    </w:p>
    <w:p w14:paraId="78382C38">
      <w:pPr>
        <w:shd w:val="clear" w:color="auto" w:fill="FFFFFF"/>
        <w:topLinePunct/>
        <w:adjustRightInd w:val="0"/>
        <w:snapToGrid w:val="0"/>
        <w:spacing w:line="560" w:lineRule="exact"/>
        <w:ind w:firstLine="640" w:firstLineChars="200"/>
        <w:jc w:val="left"/>
        <w:rPr>
          <w:rFonts w:ascii="Times New Roman" w:hAnsi="Times New Roman" w:eastAsia="仿宋_GB2312"/>
          <w:color w:val="000000"/>
          <w:kern w:val="0"/>
          <w:sz w:val="32"/>
          <w:szCs w:val="32"/>
          <w:shd w:val="clear" w:color="auto" w:fill="FFFFFF"/>
        </w:rPr>
      </w:pPr>
      <w:r>
        <w:rPr>
          <w:rFonts w:ascii="Times New Roman" w:hAnsi="Times New Roman" w:eastAsia="仿宋_GB2312"/>
          <w:kern w:val="0"/>
          <w:sz w:val="32"/>
          <w:szCs w:val="32"/>
          <w:shd w:val="clear" w:color="auto" w:fill="FFFFFF"/>
        </w:rPr>
        <w:t>（7）调查善后组：由事发地街道办事处牵头</w:t>
      </w:r>
      <w:r>
        <w:rPr>
          <w:rFonts w:ascii="Times New Roman" w:hAnsi="Times New Roman" w:eastAsia="仿宋_GB2312"/>
          <w:color w:val="000000"/>
          <w:kern w:val="0"/>
          <w:sz w:val="32"/>
          <w:szCs w:val="32"/>
          <w:shd w:val="clear" w:color="auto" w:fill="FFFFFF"/>
        </w:rPr>
        <w:t>，区纪工委监察工委、政法委、人力资源和社会保障局、住房和城乡建设局、社会事业局、行政审批局、应急管理局、开发区公安分局等参加。负责根据各自职能及时查明事故发生的经过和原因</w:t>
      </w:r>
      <w:r>
        <w:rPr>
          <w:rFonts w:ascii="Times New Roman" w:hAnsi="Times New Roman" w:eastAsia="仿宋_GB2312"/>
          <w:kern w:val="0"/>
          <w:sz w:val="32"/>
          <w:szCs w:val="32"/>
          <w:shd w:val="clear" w:color="auto" w:fill="FFFFFF"/>
        </w:rPr>
        <w:t>，总结事故处置工作的经验教训，制定改进措施，评估事故损失。实施救助、补偿、抚慰、抚恤等工作，安置受灾人员，做好遇难人员殡葬工作；提供心理咨询辅导和司法援助；预防和解决因处置事故而发生的矛盾和纠纷。</w:t>
      </w:r>
    </w:p>
    <w:p w14:paraId="581F9261">
      <w:pPr>
        <w:shd w:val="clear" w:color="auto" w:fill="FFFFFF"/>
        <w:topLinePunct/>
        <w:adjustRightInd w:val="0"/>
        <w:snapToGrid w:val="0"/>
        <w:spacing w:line="560" w:lineRule="exact"/>
        <w:ind w:firstLine="640" w:firstLineChars="200"/>
        <w:jc w:val="left"/>
        <w:rPr>
          <w:rFonts w:ascii="Times New Roman" w:hAnsi="Times New Roman" w:eastAsia="仿宋_GB2312"/>
          <w:color w:val="000000"/>
          <w:kern w:val="0"/>
          <w:sz w:val="32"/>
          <w:szCs w:val="32"/>
          <w:shd w:val="clear" w:color="auto" w:fill="FFFFFF"/>
        </w:rPr>
      </w:pPr>
      <w:r>
        <w:rPr>
          <w:rFonts w:ascii="Times New Roman" w:hAnsi="Times New Roman" w:eastAsia="黑体"/>
          <w:kern w:val="0"/>
          <w:sz w:val="32"/>
          <w:szCs w:val="32"/>
          <w:shd w:val="clear" w:color="auto" w:fill="FFFFFF"/>
        </w:rPr>
        <w:t>3  预防预警机制</w:t>
      </w:r>
    </w:p>
    <w:p w14:paraId="0C6E0FDC">
      <w:pPr>
        <w:spacing w:line="56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3.1  预防预警信息</w:t>
      </w:r>
    </w:p>
    <w:p w14:paraId="393E4FE5">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各类公共文化场所和文化活动主办单位应做好应对突发事件的思想准备、组织准备和必要的物资储备工作。加强日常管理和监测，注意日常信息的收集，对可能发生的涉及公共安全的预警信息进行全面评估和预测，制定有效的监督管理责任制和预防应急控制措施，做到早发现、早报告、早处置。</w:t>
      </w:r>
    </w:p>
    <w:p w14:paraId="6C904744">
      <w:pPr>
        <w:spacing w:line="56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3.2  预防预警行动</w:t>
      </w:r>
    </w:p>
    <w:p w14:paraId="2EA3B52C">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区、街道两级文化和旅游部门应建立预警和快速反应机制，对各类公共文化场所（含出租文化场所）和文化活动加强事前的监督检查，并定期演练各种应急预案。不断完善协调运行机制，救援力量应随时处于待命状态。</w:t>
      </w:r>
    </w:p>
    <w:p w14:paraId="48552D9D">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（2）公共文化场所应制定日常安全保卫工作方案、应急预案及安全责任制度，明确专人负责保管建筑物图纸等相关资料，强化日常人力、物力、财力储备，增强应急处理能力。</w:t>
      </w:r>
    </w:p>
    <w:p w14:paraId="64FBE249">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各主办单位在举办文化活动之前要按照相关规定报行政审批部门审批，并制定相应的安全保卫工作方案和应急预案，主动联系公安、消防救援部门，对文化活动的安全保卫、消防安全工作进行检查；经批准并检查合格后方可举办。</w:t>
      </w:r>
    </w:p>
    <w:p w14:paraId="6435771F">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大型文化活动的主办单位和场地出租单位共同负责落实活动的安全保卫工作方案和安全保卫责任制度，需报公安部门登记备案的应及时上报；负责事前安全保卫工作宣传教育，增强工作人员安全意识；负责协助公安机关对活动场所进行安全检查；负责采取必要措施及时消除安全隐患。</w:t>
      </w:r>
    </w:p>
    <w:p w14:paraId="7D355E72">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（5）大型文化活动的主办单位必须在活动举办前制定突发事件应急预案，落实医疗救援措施，保障大型文化活动期间人员的健康和生命安全。</w:t>
      </w:r>
    </w:p>
    <w:p w14:paraId="07BA2D42">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3.3  预警支持系统</w:t>
      </w:r>
    </w:p>
    <w:p w14:paraId="192E4226">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公共文化场所和文化活动应严格核定人员容量，加强对现场人员流动的监控；安装或配备必要的消防、安全技术防范设备、预警通讯和广播设备，预留公安、消防、救护及人员疏散的通道和场地；确定安全工作人员数量，明确其任务分配和识别标志；在出入口和主要通道设专人负责疏导工作。</w:t>
      </w:r>
    </w:p>
    <w:p w14:paraId="4AFEC713">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3.4  预警分级</w:t>
      </w:r>
    </w:p>
    <w:p w14:paraId="5D86635D">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根据突发事件的紧迫程度、影响范围、可能造成的危害、可能发展蔓延的趋势等因素，预警级别分为由高到低划分为</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1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2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3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III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4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IV</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级，共4个预警级别，</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1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级为最高级别，分别用红色、橙色、黄色和蓝色标示。</w:t>
      </w:r>
    </w:p>
    <w:p w14:paraId="298AD1E2">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3.5  预警发布</w:t>
      </w:r>
    </w:p>
    <w:p w14:paraId="54628E98">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3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III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级以上突发事件预警信息，由区文化应急指挥部向上级主管部门提出发布建议，上级主管部门根据市人民政府授权负责发布。</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4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IV</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级预警信息，应由区文化应急指挥部发布，同时报市文旅行政部门备案。法律法规另有规定的从其规定。</w:t>
      </w:r>
    </w:p>
    <w:p w14:paraId="048FA5A3">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预警信息内容包括预警区域或场所、预警级别、险情类别、起始时间、可能影响的范围、预警事项、相关措施、发布单位、咨询电话和发布时间等内容。</w:t>
      </w:r>
    </w:p>
    <w:p w14:paraId="1C2325EF">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预警可通过报纸、广播、电视、短信、网站、微博、内部专用网络等向社会发布或通报有关部门。</w:t>
      </w:r>
    </w:p>
    <w:p w14:paraId="2F003BB1">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3.6  预警响应</w:t>
      </w:r>
    </w:p>
    <w:p w14:paraId="236FCC28">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3.6.1蓝色（</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4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IV</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级）预警响应</w:t>
      </w:r>
    </w:p>
    <w:p w14:paraId="0703E53B">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公共文化场所和文化活动突发事件发生后，指挥部办公室及时进行研判，如果达到蓝色预警，按程序申请启动本预案</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4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IV</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预警响应，并部署相关预警响应工作；专业应急救援队伍及相关应急人员赶赴现场，组织对预警危险区域进行应急处置；应急救援专家组进驻指挥部办公室或现场，对事态发展做出判断，并提供决策建议。指挥部办公室及相关成员单位根据实际情况和分级负责的原则，依法采取以下一项或多项措施：</w:t>
      </w:r>
    </w:p>
    <w:p w14:paraId="13533D69">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（1）组织相关部门有关专家及时对突发事件信息进行分析评估，预测发生突发事件的可能性，表现形式、影响范围、危害程度以及可能发生突发事件的级别。</w:t>
      </w:r>
    </w:p>
    <w:p w14:paraId="6AF7B365">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（2）定时向区文化应急指挥部报告有关的突发事件预测信息和分析评估结果，对相关信息通报工作进行管理。</w:t>
      </w:r>
    </w:p>
    <w:p w14:paraId="628916E6">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（3）组织相关单位（部门）加强对事件现场周边单位、重点要害部位和重要基础设施的安全保卫，疏散无关人员和重要财产并妥善安置。维护现场及周边区域治安秩序和交通秩序。</w:t>
      </w:r>
    </w:p>
    <w:p w14:paraId="7820D960">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（4）根据实际情况及时采取相关预防措施，指令应急处置和抢险救援队伍及相关人员赶赴指定地点集结待命，并动员后备人员做好参加应急处置工作的准备。</w:t>
      </w:r>
    </w:p>
    <w:p w14:paraId="55FA8E2E">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（5）关闭或限制使用易受事故危害的场所，控制或限制容易导致危害扩大的公共文化场所的活动。</w:t>
      </w:r>
    </w:p>
    <w:p w14:paraId="3A53EB51">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（6）在报请区文化应急指挥部批准后，及时按照有关规定通过平面、网络媒体及短信等途径发布可能受到突发事件危害的警告，宣传告知避免、减轻伤害的常识，发布应对工作提示，公布咨询电话。</w:t>
      </w:r>
    </w:p>
    <w:p w14:paraId="6468ABC1">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（7）采取法律法规、规章规定的其他必要的防范性、保护性措施。</w:t>
      </w:r>
    </w:p>
    <w:p w14:paraId="253B0597">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3.6.2黄色（</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3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III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级）预警响应</w:t>
      </w:r>
    </w:p>
    <w:p w14:paraId="5E78505E">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在蓝色预警响应的基础上，由市级文化专项应急机构统一部署，区文化专项应急机构积极配合。</w:t>
      </w:r>
    </w:p>
    <w:p w14:paraId="083D018D">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3.6.3 橙色（</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2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级）预警响应</w:t>
      </w:r>
    </w:p>
    <w:p w14:paraId="11AE20F6">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在黄色预警响应的基础上，由省级文化专项应急机构统一部署，市、区文化专项应急机构积极配合。</w:t>
      </w:r>
    </w:p>
    <w:p w14:paraId="043B8083">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3.6.4红色（</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1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级）预警响应</w:t>
      </w:r>
    </w:p>
    <w:p w14:paraId="613ACB60">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在橙色预警响应的基础上，由国家文化专项应急机构统一部署，省、市、区文化专项应急机构积极配合。</w:t>
      </w:r>
    </w:p>
    <w:p w14:paraId="740313DF">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3.7  预警变更与解除</w:t>
      </w:r>
    </w:p>
    <w:p w14:paraId="150840FC">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预警信息发布部门（单位）密切关注事件进展情况，根据事态的发展，按照有关规定适时调整预警级别并重新发布。</w:t>
      </w:r>
    </w:p>
    <w:p w14:paraId="651D6DA9">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有事实证明不可能发生突发事件或者危险已经解除的，发布预警的部门（单位）应立即宣布解除警报，或终止预警期，并解除已经采取的有关措施。</w:t>
      </w:r>
    </w:p>
    <w:p w14:paraId="57F64557">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黑体"/>
          <w:kern w:val="0"/>
          <w:sz w:val="32"/>
          <w:szCs w:val="32"/>
          <w:shd w:val="clear" w:color="auto" w:fill="FFFFFF"/>
        </w:rPr>
        <w:t>4  信息报告</w:t>
      </w:r>
    </w:p>
    <w:p w14:paraId="0D0842BC">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4.1  事故信息报告</w:t>
      </w:r>
    </w:p>
    <w:p w14:paraId="4EC5F553">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（1）获悉突发事件信息的公民、法人及组织，应立即</w:t>
      </w:r>
      <w:r>
        <w:rPr>
          <w:rFonts w:hint="eastAsia" w:ascii="Times New Roman" w:hAnsi="Times New Roman" w:eastAsia="仿宋_GB2312"/>
          <w:kern w:val="0"/>
          <w:sz w:val="32"/>
          <w:szCs w:val="32"/>
          <w:shd w:val="clear" w:color="auto" w:fill="FFFFFF"/>
          <w:lang w:val="en-US" w:eastAsia="zh-CN"/>
        </w:rPr>
        <w:t>拨</w:t>
      </w:r>
      <w:r>
        <w:rPr>
          <w:rFonts w:ascii="Times New Roman" w:hAnsi="Times New Roman" w:eastAsia="仿宋_GB2312"/>
          <w:kern w:val="0"/>
          <w:sz w:val="32"/>
          <w:szCs w:val="32"/>
          <w:shd w:val="clear" w:color="auto" w:fill="FFFFFF"/>
        </w:rPr>
        <w:t>打报警电话110、119，区管委会值班电话（82342541），报告事故基本情况。</w:t>
      </w:r>
    </w:p>
    <w:p w14:paraId="50901FC5">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公共文化场所和文化活动突发事件发生后，事发单位现场有关人员要立即向本单位负责人报告；单位负责人接报告后应向区指挥部办公室报告；区文化应急指挥部成员单位按职责收集事件发生、发展、危害、影响范围以及应对措施等信息，并立即对相关情况进行核实和分析评估，及时向指挥部办公室报告。特殊情况下，基层单位可以同时报告区管委会和文化应急指挥部。</w:t>
      </w:r>
    </w:p>
    <w:p w14:paraId="3DAB7C47">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4.2 报告时限和程序</w:t>
      </w:r>
    </w:p>
    <w:p w14:paraId="73095D01">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（1）当一般（</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4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IV</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级）突发事件发生后，事发单位（部门）应立即核实，并在事故发生后1小时内向区管委会、文化应急指挥部等部门电话报告，书面报告时间不超过1个半小时。事故后续处置情况应及时报告。</w:t>
      </w:r>
    </w:p>
    <w:p w14:paraId="0FD0C5A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shd w:val="clear" w:color="auto" w:fill="FFFFFF"/>
        </w:rPr>
        <w:t>（2）</w:t>
      </w:r>
      <w:r>
        <w:rPr>
          <w:rFonts w:ascii="Times New Roman" w:hAnsi="Times New Roman" w:eastAsia="仿宋_GB2312"/>
          <w:sz w:val="32"/>
          <w:szCs w:val="32"/>
        </w:rPr>
        <w:t>当较大（</w:t>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3 \* ROMAN</w:instrText>
      </w:r>
      <w:r>
        <w:rPr>
          <w:rFonts w:ascii="Times New Roman" w:hAnsi="Times New Roman" w:eastAsia="仿宋_GB2312"/>
          <w:sz w:val="32"/>
          <w:szCs w:val="32"/>
        </w:rPr>
        <w:fldChar w:fldCharType="separate"/>
      </w:r>
      <w:r>
        <w:rPr>
          <w:rFonts w:ascii="Times New Roman" w:hAnsi="Times New Roman" w:eastAsia="仿宋_GB2312"/>
          <w:sz w:val="32"/>
          <w:szCs w:val="32"/>
        </w:rPr>
        <w:t>III</w:t>
      </w:r>
      <w:r>
        <w:rPr>
          <w:rFonts w:ascii="Times New Roman" w:hAnsi="Times New Roman" w:eastAsia="仿宋_GB2312"/>
          <w:sz w:val="32"/>
          <w:szCs w:val="32"/>
        </w:rPr>
        <w:fldChar w:fldCharType="end"/>
      </w:r>
      <w:r>
        <w:rPr>
          <w:rFonts w:ascii="Times New Roman" w:hAnsi="Times New Roman" w:eastAsia="仿宋_GB2312"/>
          <w:sz w:val="32"/>
          <w:szCs w:val="32"/>
        </w:rPr>
        <w:t>级）以上突发事件发生后，事发单位（部门）应立即核实，并在事故发生30分钟内向市级文化专项应急指挥部、开发区管委会等有关单位电话报告事故简要情况，书面报告时间不超过45分钟，同时报告事故可能涉及的相关区域与单位。事故后续处置情况应及时报告</w:t>
      </w:r>
      <w:r>
        <w:rPr>
          <w:rFonts w:ascii="Times New Roman" w:hAnsi="Times New Roman" w:eastAsia="仿宋_GB2312"/>
          <w:sz w:val="32"/>
          <w:szCs w:val="32"/>
          <w:shd w:val="clear" w:color="auto" w:fill="FFFFFF"/>
        </w:rPr>
        <w:t>。</w:t>
      </w:r>
    </w:p>
    <w:p w14:paraId="117829DF">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w:t>
      </w:r>
      <w:r>
        <w:rPr>
          <w:rFonts w:ascii="Times New Roman" w:hAnsi="Times New Roman" w:eastAsia="仿宋_GB2312"/>
          <w:kern w:val="0"/>
          <w:sz w:val="32"/>
          <w:szCs w:val="32"/>
        </w:rPr>
        <w:t>当重大（</w:t>
      </w:r>
      <w:r>
        <w:rPr>
          <w:rFonts w:ascii="Times New Roman" w:hAnsi="Times New Roman" w:eastAsia="仿宋_GB2312"/>
          <w:kern w:val="0"/>
          <w:sz w:val="32"/>
          <w:szCs w:val="32"/>
        </w:rPr>
        <w:fldChar w:fldCharType="begin"/>
      </w:r>
      <w:r>
        <w:rPr>
          <w:rFonts w:ascii="Times New Roman" w:hAnsi="Times New Roman" w:eastAsia="仿宋_GB2312"/>
          <w:kern w:val="0"/>
          <w:sz w:val="32"/>
          <w:szCs w:val="32"/>
        </w:rPr>
        <w:instrText xml:space="preserve">= 2 \* ROMAN</w:instrText>
      </w:r>
      <w:r>
        <w:rPr>
          <w:rFonts w:ascii="Times New Roman" w:hAnsi="Times New Roman" w:eastAsia="仿宋_GB2312"/>
          <w:kern w:val="0"/>
          <w:sz w:val="32"/>
          <w:szCs w:val="32"/>
        </w:rPr>
        <w:fldChar w:fldCharType="separate"/>
      </w:r>
      <w:r>
        <w:rPr>
          <w:rFonts w:ascii="Times New Roman" w:hAnsi="Times New Roman" w:eastAsia="仿宋_GB2312"/>
          <w:kern w:val="0"/>
          <w:sz w:val="32"/>
          <w:szCs w:val="32"/>
        </w:rPr>
        <w:t>II</w:t>
      </w:r>
      <w:r>
        <w:rPr>
          <w:rFonts w:ascii="Times New Roman" w:hAnsi="Times New Roman" w:eastAsia="仿宋_GB2312"/>
          <w:kern w:val="0"/>
          <w:sz w:val="32"/>
          <w:szCs w:val="32"/>
        </w:rPr>
        <w:fldChar w:fldCharType="end"/>
      </w:r>
      <w:r>
        <w:rPr>
          <w:rFonts w:ascii="Times New Roman" w:hAnsi="Times New Roman" w:eastAsia="仿宋_GB2312"/>
          <w:kern w:val="0"/>
          <w:sz w:val="32"/>
          <w:szCs w:val="32"/>
        </w:rPr>
        <w:t>级）以上突发事件发生后，市文化专项应急指挥部办公室在确认事故级别后15分钟内，向市政府总值班室电话报告事故简要情况，书面报告时间不超过30分钟。接到市政府总值班室要求电话核报的信息，电话反馈时间不超过15分钟，书面报告时间不超过30分钟。</w:t>
      </w:r>
    </w:p>
    <w:p w14:paraId="43282B5B">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（4）接到国家、省、市、区领导批示的，办理情况也应及时向区文化专项应急指挥部办公室报告，由区文化专项应急指挥部办公室汇总，分别向区文化专项应急指挥部、区管委会进行报告。</w:t>
      </w:r>
    </w:p>
    <w:p w14:paraId="6B194B85">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（5）应急指挥部按照国家和省紧急信息报送标准及有关要求，及时向国务院、省政府报告事故信息。</w:t>
      </w:r>
    </w:p>
    <w:p w14:paraId="4533ED63">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4.3 报告内容</w:t>
      </w:r>
    </w:p>
    <w:p w14:paraId="7F7ACC0E">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信息报告要简明扼要、清晰准确。事故报告内容应包括：突发事件发生的时间、地点、信息来源、事件类别、基本过程、财产损失、人员伤亡及影响范围等情况，对事件的初判级别，已经采取的措施，有无次生或衍生危害，周边有无危险源，是否已发出预警信号，是否需疏散群众，需要支援事项和亟需帮助解决的问题，现场负责人姓名、单位和联系电话等。</w:t>
      </w:r>
    </w:p>
    <w:p w14:paraId="758D1012">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区文化应急指挥部办公室在收到突发事件信息后，应尽快对事件进行初始评估，确定事件等级，按有关规定向区文化应急指挥部和区管委会报告，并通知相关成员按照预案和职责做好应急处置工作。</w:t>
      </w:r>
    </w:p>
    <w:p w14:paraId="027948CE">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突发事件信息应当采用传真、网络形式进行书面报告，情况紧急时，初报可通过电话报告，但应当及时补报书面报告。</w:t>
      </w:r>
    </w:p>
    <w:p w14:paraId="00ED1B29">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黑体"/>
          <w:kern w:val="0"/>
          <w:sz w:val="32"/>
          <w:szCs w:val="32"/>
          <w:shd w:val="clear" w:color="auto" w:fill="FFFFFF"/>
        </w:rPr>
        <w:t>5  应急处置</w:t>
      </w:r>
    </w:p>
    <w:p w14:paraId="6A28D87B">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5.1  先期处置</w:t>
      </w:r>
    </w:p>
    <w:p w14:paraId="109EDD8A">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按照“谁主管，谁负责”和属地管理为主的原则，突发事件现场先期应急处置由区管委会、文化应急指挥部统一组织，事发单位（部门）及其主管部门、各成员单位依职责参与应急处置工作。包括组织做好事件主体人员规劝疏导、疏散无关群众、实施重点要害部位及设施的安全防护，及时上报事件危害程度、影响范围及人员伤亡和财产损失等情况，分配应急处置任务，协调各级各类应急处置队伍的行动，查明并及时组织力量消除次生、衍生危险源，组织公共设施的抢修以及援助物资的接收与分配等。</w:t>
      </w:r>
    </w:p>
    <w:p w14:paraId="57A2717D">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突发事件发生后，区文化应急指挥部立即启动相关预案进行应急响应，按照本部门、本行业突发事件应急预案，疏散现场人员，采取有效措施化解矛盾，控制事态发展，维护治安和交通秩序、组织开展应急处置、安全保卫和防护等工作，并及时向市政府、市文化专项应急指挥部进行报告。</w:t>
      </w:r>
    </w:p>
    <w:p w14:paraId="7C9D9DB3">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5.2  响应分级</w:t>
      </w:r>
    </w:p>
    <w:p w14:paraId="2D950AEE">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根据突发事故性质、特点、危害程度，按照分级响应的原则，申请启动相应级别的应急响应。应急响应级别按照公共文化场所和文化活动突发事件分级相应分</w:t>
      </w:r>
      <w:r>
        <w:rPr>
          <w:rFonts w:hint="eastAsia" w:ascii="宋体" w:hAnsi="宋体" w:eastAsia="宋体" w:cs="宋体"/>
          <w:kern w:val="0"/>
          <w:sz w:val="32"/>
          <w:szCs w:val="32"/>
          <w:shd w:val="clear" w:color="auto" w:fill="FFFFFF"/>
        </w:rPr>
        <w:t>Ⅰ</w:t>
      </w:r>
      <w:r>
        <w:rPr>
          <w:rFonts w:ascii="Times New Roman" w:hAnsi="Times New Roman" w:eastAsia="仿宋_GB2312"/>
          <w:kern w:val="0"/>
          <w:sz w:val="32"/>
          <w:szCs w:val="32"/>
          <w:shd w:val="clear" w:color="auto" w:fill="FFFFFF"/>
        </w:rPr>
        <w:t>级、</w:t>
      </w:r>
      <w:r>
        <w:rPr>
          <w:rFonts w:hint="eastAsia" w:ascii="宋体" w:hAnsi="宋体" w:eastAsia="宋体" w:cs="宋体"/>
          <w:kern w:val="0"/>
          <w:sz w:val="32"/>
          <w:szCs w:val="32"/>
          <w:shd w:val="clear" w:color="auto" w:fill="FFFFFF"/>
        </w:rPr>
        <w:t>Ⅱ</w:t>
      </w:r>
      <w:r>
        <w:rPr>
          <w:rFonts w:ascii="Times New Roman" w:hAnsi="Times New Roman" w:eastAsia="仿宋_GB2312"/>
          <w:kern w:val="0"/>
          <w:sz w:val="32"/>
          <w:szCs w:val="32"/>
          <w:shd w:val="clear" w:color="auto" w:fill="FFFFFF"/>
        </w:rPr>
        <w:t>级、</w:t>
      </w:r>
      <w:r>
        <w:rPr>
          <w:rFonts w:hint="eastAsia" w:ascii="宋体" w:hAnsi="宋体" w:eastAsia="宋体" w:cs="宋体"/>
          <w:kern w:val="0"/>
          <w:sz w:val="32"/>
          <w:szCs w:val="32"/>
          <w:shd w:val="clear" w:color="auto" w:fill="FFFFFF"/>
        </w:rPr>
        <w:t>Ⅲ</w:t>
      </w:r>
      <w:r>
        <w:rPr>
          <w:rFonts w:ascii="Times New Roman" w:hAnsi="Times New Roman" w:eastAsia="仿宋_GB2312"/>
          <w:kern w:val="0"/>
          <w:sz w:val="32"/>
          <w:szCs w:val="32"/>
          <w:shd w:val="clear" w:color="auto" w:fill="FFFFFF"/>
        </w:rPr>
        <w:t>级、</w:t>
      </w:r>
      <w:r>
        <w:rPr>
          <w:rFonts w:hint="eastAsia" w:ascii="宋体" w:hAnsi="宋体" w:eastAsia="宋体" w:cs="宋体"/>
          <w:kern w:val="0"/>
          <w:sz w:val="32"/>
          <w:szCs w:val="32"/>
          <w:shd w:val="clear" w:color="auto" w:fill="FFFFFF"/>
        </w:rPr>
        <w:t>Ⅳ</w:t>
      </w:r>
      <w:r>
        <w:rPr>
          <w:rFonts w:ascii="Times New Roman" w:hAnsi="Times New Roman" w:eastAsia="仿宋_GB2312"/>
          <w:kern w:val="0"/>
          <w:sz w:val="32"/>
          <w:szCs w:val="32"/>
          <w:shd w:val="clear" w:color="auto" w:fill="FFFFFF"/>
        </w:rPr>
        <w:t>级。</w:t>
      </w:r>
    </w:p>
    <w:p w14:paraId="1D550C2D">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 xml:space="preserve">5.2.1 </w:t>
      </w:r>
      <w:r>
        <w:rPr>
          <w:rFonts w:hint="eastAsia" w:ascii="宋体" w:hAnsi="宋体" w:eastAsia="宋体" w:cs="宋体"/>
          <w:kern w:val="0"/>
          <w:sz w:val="32"/>
          <w:szCs w:val="32"/>
          <w:shd w:val="clear" w:color="auto" w:fill="FFFFFF"/>
        </w:rPr>
        <w:t>Ⅳ</w:t>
      </w:r>
      <w:r>
        <w:rPr>
          <w:rFonts w:ascii="Times New Roman" w:hAnsi="Times New Roman" w:eastAsia="仿宋_GB2312"/>
          <w:kern w:val="0"/>
          <w:sz w:val="32"/>
          <w:szCs w:val="32"/>
          <w:shd w:val="clear" w:color="auto" w:fill="FFFFFF"/>
        </w:rPr>
        <w:t>级应急响应</w:t>
      </w:r>
    </w:p>
    <w:p w14:paraId="6FFE8698">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color w:val="000000"/>
          <w:kern w:val="0"/>
          <w:sz w:val="32"/>
          <w:szCs w:val="32"/>
          <w:shd w:val="clear" w:color="auto" w:fill="FFFFFF"/>
        </w:rPr>
        <w:t>由</w:t>
      </w:r>
      <w:r>
        <w:rPr>
          <w:rFonts w:ascii="Times New Roman" w:hAnsi="Times New Roman" w:eastAsia="仿宋_GB2312"/>
          <w:kern w:val="0"/>
          <w:sz w:val="32"/>
          <w:szCs w:val="32"/>
          <w:shd w:val="clear" w:color="auto" w:fill="FFFFFF"/>
        </w:rPr>
        <w:t>区文化应急指挥部启动应急响应，组织</w:t>
      </w:r>
      <w:r>
        <w:rPr>
          <w:rFonts w:ascii="Times New Roman" w:hAnsi="Times New Roman" w:eastAsia="仿宋_GB2312"/>
          <w:color w:val="000000"/>
          <w:kern w:val="0"/>
          <w:sz w:val="32"/>
          <w:szCs w:val="32"/>
          <w:shd w:val="clear" w:color="auto" w:fill="FFFFFF"/>
        </w:rPr>
        <w:t>调动事发单位（部门）及其主管部门、街道办事处相关应急处置队伍和资源进行协同处置。</w:t>
      </w:r>
      <w:r>
        <w:rPr>
          <w:rFonts w:ascii="Times New Roman" w:hAnsi="Times New Roman" w:eastAsia="仿宋_GB2312"/>
          <w:kern w:val="0"/>
          <w:sz w:val="32"/>
          <w:szCs w:val="32"/>
          <w:shd w:val="clear" w:color="auto" w:fill="FFFFFF"/>
        </w:rPr>
        <w:t>必要时，提请市文化专项应急指挥部和有关部门派出工作组赶赴现场，指导开展相关应急处置工作，根据应急救援需求，提供应急资源予以支持。</w:t>
      </w:r>
    </w:p>
    <w:p w14:paraId="65A89E47">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5.2.2</w:t>
      </w:r>
      <w:r>
        <w:rPr>
          <w:rFonts w:hint="eastAsia" w:ascii="宋体" w:hAnsi="宋体" w:eastAsia="宋体" w:cs="宋体"/>
          <w:kern w:val="0"/>
          <w:sz w:val="32"/>
          <w:szCs w:val="32"/>
          <w:shd w:val="clear" w:color="auto" w:fill="FFFFFF"/>
        </w:rPr>
        <w:t>Ⅲ</w:t>
      </w:r>
      <w:r>
        <w:rPr>
          <w:rFonts w:ascii="Times New Roman" w:hAnsi="Times New Roman" w:eastAsia="仿宋_GB2312"/>
          <w:kern w:val="0"/>
          <w:sz w:val="32"/>
          <w:szCs w:val="32"/>
          <w:shd w:val="clear" w:color="auto" w:fill="FFFFFF"/>
        </w:rPr>
        <w:t>级、</w:t>
      </w:r>
      <w:r>
        <w:rPr>
          <w:rFonts w:hint="eastAsia" w:ascii="宋体" w:hAnsi="宋体" w:eastAsia="宋体" w:cs="宋体"/>
          <w:kern w:val="0"/>
          <w:sz w:val="32"/>
          <w:szCs w:val="32"/>
          <w:shd w:val="clear" w:color="auto" w:fill="FFFFFF"/>
        </w:rPr>
        <w:t>Ⅱ</w:t>
      </w:r>
      <w:r>
        <w:rPr>
          <w:rFonts w:ascii="Times New Roman" w:hAnsi="Times New Roman" w:eastAsia="仿宋_GB2312"/>
          <w:kern w:val="0"/>
          <w:sz w:val="32"/>
          <w:szCs w:val="32"/>
          <w:shd w:val="clear" w:color="auto" w:fill="FFFFFF"/>
        </w:rPr>
        <w:t>级、</w:t>
      </w:r>
      <w:r>
        <w:rPr>
          <w:rFonts w:hint="eastAsia" w:ascii="宋体" w:hAnsi="宋体" w:eastAsia="宋体" w:cs="宋体"/>
          <w:kern w:val="0"/>
          <w:sz w:val="32"/>
          <w:szCs w:val="32"/>
          <w:shd w:val="clear" w:color="auto" w:fill="FFFFFF"/>
        </w:rPr>
        <w:t>Ⅰ</w:t>
      </w:r>
      <w:r>
        <w:rPr>
          <w:rFonts w:ascii="Times New Roman" w:hAnsi="Times New Roman" w:eastAsia="仿宋_GB2312"/>
          <w:kern w:val="0"/>
          <w:sz w:val="32"/>
          <w:szCs w:val="32"/>
          <w:shd w:val="clear" w:color="auto" w:fill="FFFFFF"/>
        </w:rPr>
        <w:t>级应急响应</w:t>
      </w:r>
    </w:p>
    <w:p w14:paraId="19D5A2B3">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确认发生较大、重大、特别重大公共文化场所和文化活动突发事件时，应急响应工作由市级、省级和国家文化专项应急机构负责组织实施。在</w:t>
      </w:r>
      <w:r>
        <w:rPr>
          <w:rFonts w:hint="eastAsia" w:ascii="宋体" w:hAnsi="宋体" w:eastAsia="宋体" w:cs="宋体"/>
          <w:kern w:val="0"/>
          <w:sz w:val="32"/>
          <w:szCs w:val="32"/>
          <w:shd w:val="clear" w:color="auto" w:fill="FFFFFF"/>
        </w:rPr>
        <w:t>Ⅳ</w:t>
      </w:r>
      <w:r>
        <w:rPr>
          <w:rFonts w:ascii="Times New Roman" w:hAnsi="Times New Roman" w:eastAsia="仿宋_GB2312"/>
          <w:kern w:val="0"/>
          <w:sz w:val="32"/>
          <w:szCs w:val="32"/>
          <w:shd w:val="clear" w:color="auto" w:fill="FFFFFF"/>
        </w:rPr>
        <w:t>级应急响应的基础上，由区文化应急指挥部按照上级应急机构的统一部署，组织、协调本区各方面应急资源，配合市级、省级和国家文化专项应急机构做好应急处置工作。</w:t>
      </w:r>
    </w:p>
    <w:p w14:paraId="5AA026D1">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5.3  指挥协调</w:t>
      </w:r>
    </w:p>
    <w:p w14:paraId="6D6CB072">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启动</w:t>
      </w:r>
      <w:r>
        <w:rPr>
          <w:rFonts w:hint="eastAsia" w:ascii="宋体" w:hAnsi="宋体" w:eastAsia="宋体" w:cs="宋体"/>
          <w:kern w:val="0"/>
          <w:sz w:val="32"/>
          <w:szCs w:val="32"/>
          <w:shd w:val="clear" w:color="auto" w:fill="FFFFFF"/>
        </w:rPr>
        <w:t>Ⅳ</w:t>
      </w:r>
      <w:r>
        <w:rPr>
          <w:rFonts w:ascii="Times New Roman" w:hAnsi="Times New Roman" w:eastAsia="仿宋_GB2312"/>
          <w:kern w:val="0"/>
          <w:sz w:val="32"/>
          <w:szCs w:val="32"/>
          <w:shd w:val="clear" w:color="auto" w:fill="FFFFFF"/>
        </w:rPr>
        <w:t>级以上应急响应时，区文化应急指挥部按照“统一指挥、分级负责、属地为主、专业处置”的要求，组织开展应急处置工作。</w:t>
      </w:r>
    </w:p>
    <w:p w14:paraId="292F267E">
      <w:pPr>
        <w:shd w:val="clear" w:color="auto" w:fill="FFFFFF"/>
        <w:topLinePunct/>
        <w:adjustRightInd w:val="0"/>
        <w:snapToGrid w:val="0"/>
        <w:spacing w:line="56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5.3.1 应急指挥部主要采取以下措施：</w:t>
      </w:r>
    </w:p>
    <w:p w14:paraId="575AA11D">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（1）派出专家和应急人员参与现场指挥部的应急指挥工作，成立现场工作组，协调各级、各专业应急力量采取应急救援行动。</w:t>
      </w:r>
    </w:p>
    <w:p w14:paraId="27FCD2A1">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（2）协调有关街道办事处、区有关部门提供人力、物资、装备、技术、通信等应急保障。</w:t>
      </w:r>
    </w:p>
    <w:p w14:paraId="77D7815B">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（3）制订并组织实施应急救援和事故处置方案，防止引发次生、衍生事故。</w:t>
      </w:r>
    </w:p>
    <w:p w14:paraId="62C822A9">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（4）协调建立现场警戒区和交通管制区域，及时掌握事态进展情况，向市政府报告。</w:t>
      </w:r>
    </w:p>
    <w:p w14:paraId="13E52B93">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（5）其他相应的应急响应措施和行动。</w:t>
      </w:r>
    </w:p>
    <w:p w14:paraId="509A6F98">
      <w:pPr>
        <w:shd w:val="clear" w:color="auto" w:fill="FFFFFF"/>
        <w:topLinePunct/>
        <w:adjustRightInd w:val="0"/>
        <w:snapToGrid w:val="0"/>
        <w:spacing w:line="560" w:lineRule="exact"/>
        <w:ind w:firstLine="640" w:firstLineChars="200"/>
        <w:rPr>
          <w:rFonts w:ascii="Times New Roman" w:hAnsi="Times New Roman" w:eastAsia="楷体"/>
          <w:color w:val="000000"/>
          <w:kern w:val="0"/>
          <w:sz w:val="32"/>
          <w:szCs w:val="32"/>
          <w:shd w:val="clear" w:color="auto" w:fill="FFFFFF"/>
        </w:rPr>
      </w:pPr>
      <w:r>
        <w:rPr>
          <w:rFonts w:ascii="Times New Roman" w:hAnsi="Times New Roman" w:eastAsia="楷体"/>
          <w:color w:val="000000"/>
          <w:kern w:val="0"/>
          <w:sz w:val="32"/>
          <w:szCs w:val="32"/>
          <w:shd w:val="clear" w:color="auto" w:fill="FFFFFF"/>
        </w:rPr>
        <w:t>5.3.2事发地街道办事处</w:t>
      </w:r>
    </w:p>
    <w:p w14:paraId="3865004C">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在区文化应急指挥部的指挥和指导下，采取以下措施和行动：</w:t>
      </w:r>
    </w:p>
    <w:p w14:paraId="26C44A9C">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w:t>
      </w:r>
      <w:r>
        <w:rPr>
          <w:rFonts w:ascii="Times New Roman" w:hAnsi="Times New Roman" w:eastAsia="仿宋_GB2312"/>
          <w:color w:val="000000"/>
          <w:kern w:val="0"/>
          <w:sz w:val="32"/>
          <w:szCs w:val="32"/>
          <w:shd w:val="clear" w:color="auto" w:fill="FFFFFF"/>
        </w:rPr>
        <w:t>根据文化专项应急预案要求，采</w:t>
      </w:r>
      <w:r>
        <w:rPr>
          <w:rFonts w:ascii="Times New Roman" w:hAnsi="Times New Roman" w:eastAsia="仿宋_GB2312"/>
          <w:kern w:val="0"/>
          <w:sz w:val="32"/>
          <w:szCs w:val="32"/>
          <w:shd w:val="clear" w:color="auto" w:fill="FFFFFF"/>
        </w:rPr>
        <w:t>取措施控制事态发展，开展应急救援和事故处置工作，向区管委会、区文化应急指挥部报告情况，并随时续报处置进展情况。</w:t>
      </w:r>
    </w:p>
    <w:p w14:paraId="0D6A76F6">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（2）迅速组织安全保卫人员采取严密措施，切实维护现场治安秩序、交通秩序。依法迅速采取有效管制措施，控制现场事态的发展。</w:t>
      </w:r>
    </w:p>
    <w:p w14:paraId="51BB7419">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（3）调用本地区有关部门的应急处置队伍、交通工具、通信工具、装备器材和其他物资等资源，决定处置措施，下达处置指令。</w:t>
      </w:r>
    </w:p>
    <w:p w14:paraId="1B9A8A48">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（4）根据处置需要立即拨打110、119、120报警，请求支援。</w:t>
      </w:r>
    </w:p>
    <w:p w14:paraId="4DEB0DB2">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当突发事件可能造成现场及周边设施或临时搭建物倒塌、起火等衍生灾害或存在过激行为隐患时，应及时安排保安人员对危险区域进行封闭、隔离、控制和看护，划定封闭区域，同时调集本街道安全保卫及应急处置工作人员维护现场及周边秩序，疏散无关群众。</w:t>
      </w:r>
    </w:p>
    <w:p w14:paraId="67593C61">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（6）在确保安全的前提下，消除影响应急处置的安全隐患。</w:t>
      </w:r>
    </w:p>
    <w:p w14:paraId="46162C75">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5.3.3 区文化应急指挥部成员单位</w:t>
      </w:r>
    </w:p>
    <w:p w14:paraId="78D1B1A7">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根据职责分工和现场处置分组，在现场应急指挥部的统一指挥下，组织本单位、本部门及本地区应急处置队伍和装备资源采取相应措施参与应急处置。</w:t>
      </w:r>
    </w:p>
    <w:p w14:paraId="3B6A9B0D">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5.4  信息发布</w:t>
      </w:r>
    </w:p>
    <w:p w14:paraId="25C4D92E">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由区文化专项应急指挥部办公室报请现场总指挥批准后，由区组织宣传部对信息严格按照相关要求进行审核并按照坚持实事求是、把握适度、遵守纪律的原则和规定程序通过平面和网络媒体对外发布。</w:t>
      </w:r>
    </w:p>
    <w:p w14:paraId="0C49B30E">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信息发布可前期发布简要信息，随后发布基本核实情况、政府应对措施和公众防范措施等，并根据事件处置情况做好后续发布工作。突发事件的信息发布严格按照国家相关法律法规及规定执行，应当做到及时、准确、客观、全面。</w:t>
      </w:r>
    </w:p>
    <w:p w14:paraId="5975931D">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文化应急指挥部应建立舆情引导机制。在突发事件发生后，区文化应急指挥部、事发地街道办事处应及时启动舆情引导机制，收集相关舆论舆情，并进行分类整理，进行正面回应。对外报道工作由区组织宣传部会同区文化应急指挥部等部门共同组织，正确引导舆论。</w:t>
      </w:r>
    </w:p>
    <w:p w14:paraId="5A60D9CB">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5.5  应急结束</w:t>
      </w:r>
    </w:p>
    <w:p w14:paraId="13BDC41E">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当突发事件得到有效处置，现场应急指挥部组织专家会商评估，确认相关危险因素和次生、衍生危害已经消除，应急响应工作即告结束，由响应启动单位宣布应急结束，并及时通知参与处置的各有关单位，必要时通过平面及网络等媒体向社会发布应急结束的公告。</w:t>
      </w:r>
    </w:p>
    <w:p w14:paraId="20E4D61D">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5.6  后期处置</w:t>
      </w:r>
    </w:p>
    <w:p w14:paraId="0CCD43E1">
      <w:pPr>
        <w:shd w:val="clear" w:color="auto" w:fill="FFFFFF"/>
        <w:topLinePunct/>
        <w:adjustRightInd w:val="0"/>
        <w:snapToGrid w:val="0"/>
        <w:spacing w:line="54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事发地街道办事处牵头，事发单位（部门）及其主管部门配合。负责事件伤亡群众的善后处理，做好伤亡群众家属的安置、抚恤，对符合社会救助条件的受伤群众进行医疗鉴定及后期治疗和社会救助。</w:t>
      </w:r>
    </w:p>
    <w:p w14:paraId="2D9D48B7">
      <w:pPr>
        <w:shd w:val="clear" w:color="auto" w:fill="FFFFFF"/>
        <w:topLinePunct/>
        <w:adjustRightInd w:val="0"/>
        <w:snapToGrid w:val="0"/>
        <w:spacing w:line="54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事发地街道办事处在事件平息后，牵头组织开展事件调查与总结评估工作。调查与总结评估涵盖事件诱因、性质、规模及表现形式等基本情况，接报和应急处置过程，组织指挥和应急预案执行情况，应急处置所采取的主要措施，处置效果，遇到的问题，经验和教训，改进应急处置工作的措施和建议等。</w:t>
      </w:r>
    </w:p>
    <w:p w14:paraId="3B5C7CC2">
      <w:pPr>
        <w:shd w:val="clear" w:color="auto" w:fill="FFFFFF"/>
        <w:topLinePunct/>
        <w:adjustRightInd w:val="0"/>
        <w:snapToGrid w:val="0"/>
        <w:spacing w:line="54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黑体"/>
          <w:kern w:val="0"/>
          <w:sz w:val="32"/>
          <w:szCs w:val="32"/>
          <w:shd w:val="clear" w:color="auto" w:fill="FFFFFF"/>
        </w:rPr>
        <w:t>6   应急保障</w:t>
      </w:r>
    </w:p>
    <w:p w14:paraId="03ECE970">
      <w:pPr>
        <w:shd w:val="clear" w:color="auto" w:fill="FFFFFF"/>
        <w:topLinePunct/>
        <w:adjustRightInd w:val="0"/>
        <w:snapToGrid w:val="0"/>
        <w:spacing w:line="54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6.1  信息保障</w:t>
      </w:r>
    </w:p>
    <w:p w14:paraId="3E33295D">
      <w:pPr>
        <w:shd w:val="clear" w:color="auto" w:fill="FFFFFF"/>
        <w:topLinePunct/>
        <w:adjustRightInd w:val="0"/>
        <w:snapToGrid w:val="0"/>
        <w:spacing w:line="54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各成员单位应建立健全并落实突发事件信息收集、传递、处理、报送、通报的信息联动和共享工作制度，完善各有关部门、单位已有的信息传输渠道，保持信息报送设施特别是现场应急信息沟通的良好状态，确保信息畅通；区文化应急指挥部办公室、各成员单位负责人保证24小时联络畅通。</w:t>
      </w:r>
    </w:p>
    <w:p w14:paraId="6E6018C6">
      <w:pPr>
        <w:shd w:val="clear" w:color="auto" w:fill="FFFFFF"/>
        <w:topLinePunct/>
        <w:adjustRightInd w:val="0"/>
        <w:snapToGrid w:val="0"/>
        <w:spacing w:line="54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6.2  物资保障</w:t>
      </w:r>
    </w:p>
    <w:p w14:paraId="0C3B8E2A">
      <w:pPr>
        <w:spacing w:line="54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区文化应急指挥部组织指导各成员单位建立应急物资装备的储备、更新、调拨和紧急配送等保障体系。各街道办事处应鼓励和引导社区、企事业单位储备基本的应急处置和抢险救援物资、装备。</w:t>
      </w:r>
    </w:p>
    <w:p w14:paraId="24642F3C">
      <w:pPr>
        <w:spacing w:line="54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6.3  人员保障</w:t>
      </w:r>
    </w:p>
    <w:p w14:paraId="05D58130">
      <w:pPr>
        <w:spacing w:line="54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文化应急指挥部相关成员单位应根据职责组建本单位、本部门应急救援队伍。突发事件发生后，区文化应急指挥部按照事件紧急程度和由近及远的原则分梯次调集各有关单位应急队伍参与应急处置和抢险救援等工作。</w:t>
      </w:r>
    </w:p>
    <w:p w14:paraId="40339319">
      <w:pPr>
        <w:shd w:val="clear" w:color="auto" w:fill="FFFFFF"/>
        <w:topLinePunct/>
        <w:adjustRightInd w:val="0"/>
        <w:snapToGrid w:val="0"/>
        <w:spacing w:line="54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6.4  宣传保障</w:t>
      </w:r>
    </w:p>
    <w:p w14:paraId="7CBF3649">
      <w:pPr>
        <w:spacing w:line="54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文化应急指挥部及有关成员单位要加强公共文化场所和文化活动突发事件预案的普及工作，利用新闻媒体、网站、报刊及宣传栏等多种形式，广泛开展公共文化场所和文化活动突发事件法制和应急知识的宣传教育活动，公布区文化应急指挥部办公室电话（85882330、85882335传真），增强公众的法制观念、应急避险意识，提高自救、互救能力，有效预防突发事件发生和减轻因突发事件造成的损失。</w:t>
      </w:r>
    </w:p>
    <w:p w14:paraId="7C6DBAC3">
      <w:pPr>
        <w:spacing w:line="54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6.5  医疗保障</w:t>
      </w:r>
    </w:p>
    <w:p w14:paraId="7040C3EF">
      <w:pPr>
        <w:spacing w:line="54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区社会事业局应建立卫生应急队伍和保障体系，根据需要及时组织队伍赶赴现场开展紧急医疗救治等工作，为事发地提供必要的药品、器械等卫生和医疗设备援助。</w:t>
      </w:r>
    </w:p>
    <w:p w14:paraId="35022A25">
      <w:pPr>
        <w:spacing w:line="54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6.6  交通保障</w:t>
      </w:r>
    </w:p>
    <w:p w14:paraId="5362C726">
      <w:pPr>
        <w:spacing w:line="54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交通等部门（单位）要建立应急运输保障体系，公共文化场所和文化活动突发事件发生后要开设应急“绿色通道”，保证紧急情况下的应急交通工具的优先安排、优先调度、优先放行；交通设施受损时，区住房和城乡建设局等部门要迅速组织专业队伍进行抢修，尽快恢复畅通，确保运输安全；区公安分局等部门要根据处置需要，对事发现场及相关道路实行交通调流或管制，保证救援工作顺利开展。</w:t>
      </w:r>
    </w:p>
    <w:p w14:paraId="2B205577">
      <w:pPr>
        <w:spacing w:line="54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黑体"/>
          <w:kern w:val="0"/>
          <w:sz w:val="32"/>
          <w:szCs w:val="32"/>
          <w:shd w:val="clear" w:color="auto" w:fill="FFFFFF"/>
        </w:rPr>
        <w:t>7  应急教育与演练</w:t>
      </w:r>
    </w:p>
    <w:p w14:paraId="6A09A34E">
      <w:pPr>
        <w:spacing w:line="56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7  应急教育</w:t>
      </w:r>
    </w:p>
    <w:p w14:paraId="0DC2BFEC">
      <w:pPr>
        <w:spacing w:line="56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仿宋_GB2312"/>
          <w:kern w:val="0"/>
          <w:sz w:val="32"/>
          <w:szCs w:val="32"/>
          <w:shd w:val="clear" w:color="auto" w:fill="FFFFFF"/>
        </w:rPr>
        <w:t>区文化应急指挥部及有关成员单位要对相关指挥员、应急救援队伍开展对本预案及相关应急处置、矛盾调处、法制宣传教育和政策宣讲等知识培训，丰富一线工作人员法律、政策及应急业务知识，提高突发事件的协调处置能力。</w:t>
      </w:r>
    </w:p>
    <w:p w14:paraId="1161640B">
      <w:pPr>
        <w:spacing w:line="56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7.2  预案演练</w:t>
      </w:r>
    </w:p>
    <w:p w14:paraId="40FA0C8F">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文化应急指挥部办公室负责制订年度应急演练计划，每2年至少组织1次公共文化场所和文化活动突发事件应急处置综合或专项演练。各街道应当积极组织本辖区综合或专项演练。演练要从实战角度出发，深入发动和依靠群众，普及防灾减灾知识和技能，切实提高应急救援能力。演练相关资料要及时归档备查。</w:t>
      </w:r>
    </w:p>
    <w:p w14:paraId="596D63F2">
      <w:pPr>
        <w:spacing w:line="560" w:lineRule="exact"/>
        <w:ind w:firstLine="640" w:firstLineChars="200"/>
        <w:rPr>
          <w:rFonts w:ascii="Times New Roman" w:hAnsi="Times New Roman" w:eastAsia="楷体"/>
          <w:color w:val="000000" w:themeColor="text1"/>
          <w:kern w:val="0"/>
          <w:sz w:val="32"/>
          <w:szCs w:val="32"/>
          <w:shd w:val="clear" w:color="auto" w:fill="FFFFFF"/>
          <w14:textFill>
            <w14:solidFill>
              <w14:schemeClr w14:val="tx1"/>
            </w14:solidFill>
          </w14:textFill>
        </w:rPr>
      </w:pPr>
      <w:r>
        <w:rPr>
          <w:rFonts w:ascii="Times New Roman" w:hAnsi="Times New Roman" w:eastAsia="楷体"/>
          <w:color w:val="000000" w:themeColor="text1"/>
          <w:kern w:val="0"/>
          <w:sz w:val="32"/>
          <w:szCs w:val="32"/>
          <w:shd w:val="clear" w:color="auto" w:fill="FFFFFF"/>
          <w14:textFill>
            <w14:solidFill>
              <w14:schemeClr w14:val="tx1"/>
            </w14:solidFill>
          </w14:textFill>
        </w:rPr>
        <w:t>7.3  预案评估</w:t>
      </w:r>
    </w:p>
    <w:p w14:paraId="1E9BE700">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区文化应急指挥部办公室根据预案运行情况不定期对本级预案进行评估。评估可采取专家、参加应急行动相关人员等共同参与的方式进行，并撰写评估报告。</w:t>
      </w:r>
    </w:p>
    <w:p w14:paraId="36FE37D7">
      <w:pPr>
        <w:spacing w:line="56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color w:val="002060"/>
          <w:kern w:val="0"/>
          <w:sz w:val="32"/>
          <w:szCs w:val="32"/>
          <w:shd w:val="clear" w:color="auto" w:fill="FFFFFF"/>
        </w:rPr>
        <w:t xml:space="preserve">7.4  </w:t>
      </w:r>
      <w:r>
        <w:rPr>
          <w:rFonts w:ascii="Times New Roman" w:hAnsi="Times New Roman" w:eastAsia="楷体"/>
          <w:kern w:val="0"/>
          <w:sz w:val="32"/>
          <w:szCs w:val="32"/>
          <w:shd w:val="clear" w:color="auto" w:fill="FFFFFF"/>
        </w:rPr>
        <w:t>责任追究</w:t>
      </w:r>
    </w:p>
    <w:p w14:paraId="1F77B819">
      <w:pPr>
        <w:spacing w:line="560" w:lineRule="exact"/>
        <w:ind w:firstLine="645"/>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文化应急指挥部负责对本预案执行情况进行监督检查，督促有关部门和单位对存在的问题进行整改。对应急处置工作推诿扯皮、不作为，突发事件信息报告中迟报、漏报、谎报、瞒报，现场处置中失职、渎职，信息发布不力，以及应急准备中对责任应尽未尽并造成严重后果等不履行或不当履行法定职责的，由有关部门依法追究责任。</w:t>
      </w:r>
    </w:p>
    <w:p w14:paraId="759EC26F">
      <w:pPr>
        <w:spacing w:line="560" w:lineRule="exact"/>
        <w:ind w:firstLine="645"/>
        <w:rPr>
          <w:rFonts w:ascii="Times New Roman" w:hAnsi="Times New Roman" w:eastAsia="仿宋_GB2312"/>
          <w:kern w:val="0"/>
          <w:sz w:val="32"/>
          <w:szCs w:val="32"/>
          <w:shd w:val="clear" w:color="auto" w:fill="FFFFFF"/>
        </w:rPr>
      </w:pPr>
      <w:r>
        <w:rPr>
          <w:rFonts w:ascii="Times New Roman" w:hAnsi="Times New Roman" w:eastAsia="黑体"/>
          <w:kern w:val="0"/>
          <w:sz w:val="32"/>
          <w:szCs w:val="32"/>
          <w:shd w:val="clear" w:color="auto" w:fill="FFFFFF"/>
        </w:rPr>
        <w:t>8  附则</w:t>
      </w:r>
    </w:p>
    <w:p w14:paraId="555E15CA">
      <w:pPr>
        <w:spacing w:line="560" w:lineRule="exact"/>
        <w:rPr>
          <w:rFonts w:ascii="Times New Roman" w:hAnsi="Times New Roman" w:eastAsia="楷体"/>
          <w:kern w:val="0"/>
          <w:sz w:val="32"/>
          <w:szCs w:val="32"/>
          <w:shd w:val="clear" w:color="auto" w:fill="FFFFFF"/>
        </w:rPr>
      </w:pPr>
      <w:r>
        <w:rPr>
          <w:rFonts w:ascii="Times New Roman" w:hAnsi="Times New Roman" w:eastAsia="仿宋_GB2312"/>
          <w:kern w:val="0"/>
          <w:sz w:val="32"/>
          <w:szCs w:val="32"/>
          <w:shd w:val="clear" w:color="auto" w:fill="FFFFFF"/>
        </w:rPr>
        <w:t>　　</w:t>
      </w:r>
      <w:r>
        <w:rPr>
          <w:rFonts w:ascii="Times New Roman" w:hAnsi="Times New Roman" w:eastAsia="楷体"/>
          <w:kern w:val="0"/>
          <w:sz w:val="32"/>
          <w:szCs w:val="32"/>
          <w:shd w:val="clear" w:color="auto" w:fill="FFFFFF"/>
        </w:rPr>
        <w:t>8.1  预案制定</w:t>
      </w:r>
    </w:p>
    <w:p w14:paraId="3D8386C5">
      <w:pPr>
        <w:spacing w:line="560" w:lineRule="exac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　　本预案由区社会事业局负责制定、管理与解释。各街道办事处和有关部门应参照执行，并依据本预案，结合本地区、本部门实际情况，制订相应的公共文化场所和文化活动突发事件应急预案和行动方案，按照规定报区文化应急指挥部办公室备案。</w:t>
      </w:r>
    </w:p>
    <w:p w14:paraId="46B57EA0">
      <w:pPr>
        <w:spacing w:line="560" w:lineRule="exact"/>
        <w:rPr>
          <w:rFonts w:ascii="Times New Roman" w:hAnsi="Times New Roman" w:eastAsia="楷体"/>
          <w:kern w:val="0"/>
          <w:sz w:val="32"/>
          <w:szCs w:val="32"/>
          <w:shd w:val="clear" w:color="auto" w:fill="FFFFFF"/>
        </w:rPr>
      </w:pPr>
      <w:r>
        <w:rPr>
          <w:rFonts w:ascii="Times New Roman" w:hAnsi="Times New Roman" w:eastAsia="仿宋_GB2312"/>
          <w:kern w:val="0"/>
          <w:sz w:val="32"/>
          <w:szCs w:val="32"/>
          <w:shd w:val="clear" w:color="auto" w:fill="FFFFFF"/>
        </w:rPr>
        <w:t>　　</w:t>
      </w:r>
      <w:r>
        <w:rPr>
          <w:rFonts w:ascii="Times New Roman" w:hAnsi="Times New Roman" w:eastAsia="楷体"/>
          <w:kern w:val="0"/>
          <w:sz w:val="32"/>
          <w:szCs w:val="32"/>
          <w:shd w:val="clear" w:color="auto" w:fill="FFFFFF"/>
        </w:rPr>
        <w:t>8.2  预案修订</w:t>
      </w:r>
    </w:p>
    <w:p w14:paraId="5D370E2C">
      <w:pPr>
        <w:spacing w:line="560" w:lineRule="exac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　　区文化应急指挥部办公室按照有关规定，结合应急处置和演练总结评估情况，适时组织对本预案进行修订，实现预案可持续改进。</w:t>
      </w:r>
    </w:p>
    <w:p w14:paraId="0D87F700">
      <w:pPr>
        <w:shd w:val="clear" w:color="auto" w:fill="FFFFFF"/>
        <w:topLinePunct/>
        <w:adjustRightInd w:val="0"/>
        <w:snapToGrid w:val="0"/>
        <w:spacing w:line="560" w:lineRule="exact"/>
        <w:jc w:val="left"/>
        <w:rPr>
          <w:rFonts w:ascii="Times New Roman" w:hAnsi="Times New Roman" w:eastAsia="楷体"/>
          <w:kern w:val="0"/>
          <w:sz w:val="32"/>
          <w:szCs w:val="32"/>
          <w:shd w:val="clear" w:color="auto" w:fill="FFFFFF"/>
        </w:rPr>
      </w:pPr>
      <w:r>
        <w:rPr>
          <w:rFonts w:ascii="Times New Roman" w:hAnsi="Times New Roman" w:eastAsia="仿宋_GB2312"/>
          <w:kern w:val="0"/>
          <w:sz w:val="32"/>
          <w:szCs w:val="32"/>
          <w:shd w:val="clear" w:color="auto" w:fill="FFFFFF"/>
        </w:rPr>
        <w:t>　　</w:t>
      </w:r>
      <w:r>
        <w:rPr>
          <w:rFonts w:ascii="Times New Roman" w:hAnsi="Times New Roman" w:eastAsia="楷体"/>
          <w:kern w:val="0"/>
          <w:sz w:val="32"/>
          <w:szCs w:val="32"/>
          <w:shd w:val="clear" w:color="auto" w:fill="FFFFFF"/>
        </w:rPr>
        <w:t>8.3  预案实施</w:t>
      </w:r>
    </w:p>
    <w:p w14:paraId="33F7D79E">
      <w:pPr>
        <w:shd w:val="clear" w:color="auto" w:fill="FFFFFF"/>
        <w:topLinePunct/>
        <w:adjustRightInd w:val="0"/>
        <w:snapToGrid w:val="0"/>
        <w:spacing w:line="560" w:lineRule="exact"/>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　　本预案自开发区管委会办公室颁布之日起实施。</w:t>
      </w:r>
    </w:p>
    <w:p w14:paraId="083D8B6A">
      <w:pPr>
        <w:shd w:val="clear" w:color="auto" w:fill="FFFFFF"/>
        <w:topLinePunct/>
        <w:adjustRightInd w:val="0"/>
        <w:snapToGrid w:val="0"/>
        <w:spacing w:line="560" w:lineRule="exact"/>
        <w:rPr>
          <w:rFonts w:ascii="Times New Roman" w:hAnsi="Times New Roman" w:eastAsia="仿宋_GB2312"/>
          <w:sz w:val="32"/>
          <w:szCs w:val="32"/>
          <w:shd w:val="clear" w:color="auto" w:fill="FFFFFF"/>
        </w:rPr>
        <w:sectPr>
          <w:footerReference r:id="rId18" w:type="default"/>
          <w:type w:val="continuous"/>
          <w:pgSz w:w="11906" w:h="16838"/>
          <w:pgMar w:top="2098" w:right="1474" w:bottom="1985" w:left="1588" w:header="851" w:footer="1588" w:gutter="0"/>
          <w:cols w:space="425" w:num="1"/>
          <w:docGrid w:linePitch="312" w:charSpace="0"/>
        </w:sectPr>
      </w:pPr>
    </w:p>
    <w:p w14:paraId="26DA706A">
      <w:pPr>
        <w:spacing w:line="560" w:lineRule="exact"/>
        <w:jc w:val="center"/>
        <w:rPr>
          <w:rFonts w:ascii="Times New Roman" w:hAnsi="Times New Roman" w:eastAsia="方正小标宋简体"/>
          <w:bCs/>
          <w:sz w:val="44"/>
          <w:szCs w:val="24"/>
        </w:rPr>
      </w:pPr>
      <w:r>
        <w:rPr>
          <w:rFonts w:ascii="Times New Roman" w:hAnsi="Times New Roman" w:eastAsia="方正小标宋简体"/>
          <w:bCs/>
          <w:sz w:val="44"/>
          <w:szCs w:val="24"/>
        </w:rPr>
        <w:t>连云港经济技术开发区大型体育赛事及</w:t>
      </w:r>
    </w:p>
    <w:p w14:paraId="2736ABAB">
      <w:pPr>
        <w:spacing w:line="560" w:lineRule="exact"/>
        <w:jc w:val="center"/>
        <w:rPr>
          <w:rFonts w:ascii="Times New Roman" w:hAnsi="Times New Roman" w:eastAsia="方正小标宋简体"/>
          <w:bCs/>
          <w:sz w:val="44"/>
          <w:szCs w:val="24"/>
        </w:rPr>
      </w:pPr>
      <w:r>
        <w:rPr>
          <w:rFonts w:ascii="Times New Roman" w:hAnsi="Times New Roman" w:eastAsia="方正小标宋简体"/>
          <w:bCs/>
          <w:sz w:val="44"/>
          <w:szCs w:val="24"/>
        </w:rPr>
        <w:t>大众体育活动突发事件应急预案</w:t>
      </w:r>
    </w:p>
    <w:p w14:paraId="6EC20CF6">
      <w:pPr>
        <w:spacing w:line="560" w:lineRule="exact"/>
        <w:jc w:val="center"/>
        <w:rPr>
          <w:rFonts w:ascii="Times New Roman" w:hAnsi="Times New Roman" w:eastAsia="宋体"/>
          <w:bCs/>
          <w:sz w:val="44"/>
          <w:szCs w:val="24"/>
        </w:rPr>
      </w:pPr>
    </w:p>
    <w:p w14:paraId="1D2A7A73">
      <w:pPr>
        <w:spacing w:line="560" w:lineRule="exact"/>
        <w:jc w:val="center"/>
        <w:rPr>
          <w:rFonts w:ascii="Times New Roman" w:hAnsi="Times New Roman" w:eastAsia="方正小标宋_GBK"/>
          <w:bCs/>
          <w:sz w:val="44"/>
          <w:szCs w:val="24"/>
        </w:rPr>
      </w:pPr>
      <w:r>
        <w:rPr>
          <w:rFonts w:ascii="Times New Roman" w:hAnsi="Times New Roman" w:eastAsia="方正小标宋_GBK"/>
          <w:bCs/>
          <w:sz w:val="44"/>
          <w:szCs w:val="24"/>
        </w:rPr>
        <w:t>目录</w:t>
      </w:r>
    </w:p>
    <w:p w14:paraId="1FC67F66">
      <w:pPr>
        <w:spacing w:line="600" w:lineRule="exact"/>
        <w:rPr>
          <w:rFonts w:ascii="Times New Roman" w:hAnsi="Times New Roman" w:eastAsia="黑体"/>
          <w:bCs/>
          <w:sz w:val="44"/>
          <w:szCs w:val="24"/>
        </w:rPr>
      </w:pPr>
      <w:r>
        <w:rPr>
          <w:rFonts w:ascii="Times New Roman" w:hAnsi="Times New Roman" w:eastAsia="黑体"/>
          <w:sz w:val="32"/>
          <w:szCs w:val="24"/>
        </w:rPr>
        <w:t>1  总则</w:t>
      </w:r>
      <w:r>
        <w:rPr>
          <w:rFonts w:ascii="Times New Roman" w:hAnsi="Times New Roman" w:eastAsia="黑体"/>
          <w:sz w:val="30"/>
          <w:szCs w:val="30"/>
        </w:rPr>
        <w:t xml:space="preserve">  </w:t>
      </w:r>
    </w:p>
    <w:p w14:paraId="3A3D215F">
      <w:pPr>
        <w:spacing w:line="600" w:lineRule="exact"/>
        <w:ind w:firstLine="320" w:firstLineChars="100"/>
        <w:jc w:val="left"/>
        <w:rPr>
          <w:rFonts w:ascii="Times New Roman" w:hAnsi="Times New Roman" w:eastAsia="仿宋_GB2312"/>
          <w:sz w:val="30"/>
          <w:szCs w:val="30"/>
        </w:rPr>
      </w:pPr>
      <w:r>
        <w:rPr>
          <w:rFonts w:ascii="Times New Roman" w:hAnsi="Times New Roman" w:eastAsia="仿宋_GB2312"/>
          <w:sz w:val="32"/>
          <w:szCs w:val="24"/>
        </w:rPr>
        <w:t>1.1编制目的</w:t>
      </w:r>
    </w:p>
    <w:p w14:paraId="74B83727">
      <w:pPr>
        <w:spacing w:line="600" w:lineRule="exact"/>
        <w:ind w:firstLine="320" w:firstLineChars="100"/>
        <w:jc w:val="left"/>
        <w:rPr>
          <w:rFonts w:ascii="Times New Roman" w:hAnsi="Times New Roman" w:eastAsia="仿宋_GB2312"/>
          <w:sz w:val="32"/>
          <w:szCs w:val="24"/>
        </w:rPr>
      </w:pPr>
      <w:r>
        <w:rPr>
          <w:rFonts w:ascii="Times New Roman" w:hAnsi="Times New Roman" w:eastAsia="仿宋_GB2312"/>
          <w:sz w:val="32"/>
          <w:szCs w:val="24"/>
        </w:rPr>
        <w:t>1.2编制原则</w:t>
      </w:r>
      <w:r>
        <w:rPr>
          <w:rFonts w:ascii="Times New Roman" w:hAnsi="Times New Roman" w:eastAsia="仿宋_GB2312"/>
          <w:sz w:val="30"/>
          <w:szCs w:val="30"/>
        </w:rPr>
        <w:t xml:space="preserve">  </w:t>
      </w:r>
    </w:p>
    <w:p w14:paraId="30028687">
      <w:pPr>
        <w:spacing w:line="600" w:lineRule="exact"/>
        <w:ind w:firstLine="320" w:firstLineChars="100"/>
        <w:jc w:val="left"/>
        <w:rPr>
          <w:rFonts w:ascii="Times New Roman" w:hAnsi="Times New Roman" w:eastAsia="仿宋_GB2312"/>
          <w:sz w:val="30"/>
          <w:szCs w:val="30"/>
        </w:rPr>
      </w:pPr>
      <w:r>
        <w:rPr>
          <w:rFonts w:ascii="Times New Roman" w:hAnsi="Times New Roman" w:eastAsia="仿宋_GB2312"/>
          <w:sz w:val="32"/>
          <w:szCs w:val="24"/>
        </w:rPr>
        <w:t>1.3编制依据</w:t>
      </w:r>
      <w:r>
        <w:rPr>
          <w:rFonts w:ascii="Times New Roman" w:hAnsi="Times New Roman" w:eastAsia="仿宋_GB2312"/>
          <w:sz w:val="30"/>
          <w:szCs w:val="30"/>
        </w:rPr>
        <w:t xml:space="preserve"> </w:t>
      </w:r>
    </w:p>
    <w:p w14:paraId="0B001219">
      <w:pPr>
        <w:spacing w:line="600" w:lineRule="exact"/>
        <w:ind w:firstLine="320" w:firstLineChars="100"/>
        <w:jc w:val="left"/>
        <w:rPr>
          <w:rFonts w:ascii="Times New Roman" w:hAnsi="Times New Roman" w:eastAsia="仿宋_GB2312"/>
          <w:sz w:val="32"/>
          <w:szCs w:val="24"/>
        </w:rPr>
      </w:pPr>
      <w:r>
        <w:rPr>
          <w:rFonts w:ascii="Times New Roman" w:hAnsi="Times New Roman" w:eastAsia="仿宋_GB2312"/>
          <w:sz w:val="32"/>
          <w:szCs w:val="24"/>
        </w:rPr>
        <w:t>1.4适用范围</w:t>
      </w:r>
    </w:p>
    <w:p w14:paraId="6FC55EED">
      <w:pPr>
        <w:spacing w:line="600" w:lineRule="exact"/>
        <w:rPr>
          <w:rFonts w:ascii="Times New Roman" w:hAnsi="Times New Roman" w:eastAsia="黑体"/>
          <w:sz w:val="32"/>
          <w:szCs w:val="24"/>
        </w:rPr>
      </w:pPr>
      <w:r>
        <w:rPr>
          <w:rFonts w:ascii="Times New Roman" w:hAnsi="Times New Roman" w:eastAsia="黑体"/>
          <w:sz w:val="32"/>
          <w:szCs w:val="24"/>
        </w:rPr>
        <w:t xml:space="preserve">2  组织体系 </w:t>
      </w:r>
    </w:p>
    <w:p w14:paraId="55607F95">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 xml:space="preserve">2.1组织机构和职责 </w:t>
      </w:r>
    </w:p>
    <w:p w14:paraId="4FB60EA6">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2.2指挥部成员单位及其职责</w:t>
      </w:r>
    </w:p>
    <w:p w14:paraId="5861CDAD">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2.3组织委员会</w:t>
      </w:r>
    </w:p>
    <w:p w14:paraId="49B31C1E">
      <w:pPr>
        <w:spacing w:line="600" w:lineRule="exact"/>
        <w:ind w:firstLine="320" w:firstLineChars="100"/>
        <w:rPr>
          <w:rFonts w:ascii="Times New Roman" w:hAnsi="Times New Roman" w:eastAsia="仿宋_GB2312"/>
          <w:sz w:val="30"/>
          <w:szCs w:val="30"/>
        </w:rPr>
      </w:pPr>
      <w:r>
        <w:rPr>
          <w:rFonts w:ascii="Times New Roman" w:hAnsi="Times New Roman" w:eastAsia="仿宋_GB2312"/>
          <w:sz w:val="32"/>
          <w:szCs w:val="24"/>
        </w:rPr>
        <w:t>2.4应急工作组</w:t>
      </w:r>
    </w:p>
    <w:p w14:paraId="21BB32DC">
      <w:pPr>
        <w:spacing w:line="600" w:lineRule="exact"/>
        <w:rPr>
          <w:rFonts w:ascii="Times New Roman" w:hAnsi="Times New Roman" w:eastAsia="黑体"/>
          <w:sz w:val="32"/>
          <w:szCs w:val="24"/>
        </w:rPr>
      </w:pPr>
      <w:r>
        <w:rPr>
          <w:rFonts w:ascii="Times New Roman" w:hAnsi="Times New Roman" w:eastAsia="黑体"/>
          <w:sz w:val="32"/>
          <w:szCs w:val="24"/>
        </w:rPr>
        <w:t xml:space="preserve">3  预防和预警机制  </w:t>
      </w:r>
    </w:p>
    <w:p w14:paraId="07B17A05">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3.1预防预警</w:t>
      </w:r>
    </w:p>
    <w:p w14:paraId="3755A364">
      <w:pPr>
        <w:spacing w:line="600" w:lineRule="exact"/>
        <w:ind w:firstLine="320" w:firstLineChars="100"/>
        <w:rPr>
          <w:rFonts w:ascii="Times New Roman" w:hAnsi="Times New Roman" w:eastAsia="仿宋_GB2312"/>
          <w:sz w:val="30"/>
          <w:szCs w:val="30"/>
        </w:rPr>
      </w:pPr>
      <w:r>
        <w:rPr>
          <w:rFonts w:ascii="Times New Roman" w:hAnsi="Times New Roman" w:eastAsia="仿宋_GB2312"/>
          <w:sz w:val="32"/>
          <w:szCs w:val="24"/>
        </w:rPr>
        <w:t>3.2 预防预警行动</w:t>
      </w:r>
      <w:r>
        <w:rPr>
          <w:rFonts w:ascii="Times New Roman" w:hAnsi="Times New Roman" w:eastAsia="仿宋_GB2312"/>
          <w:sz w:val="30"/>
          <w:szCs w:val="30"/>
        </w:rPr>
        <w:t xml:space="preserve"> </w:t>
      </w:r>
    </w:p>
    <w:p w14:paraId="4BEF4ADE">
      <w:pPr>
        <w:spacing w:line="600" w:lineRule="exact"/>
        <w:rPr>
          <w:rFonts w:ascii="Times New Roman" w:hAnsi="Times New Roman" w:eastAsia="黑体"/>
          <w:sz w:val="32"/>
          <w:szCs w:val="24"/>
        </w:rPr>
      </w:pPr>
      <w:r>
        <w:rPr>
          <w:rFonts w:ascii="Times New Roman" w:hAnsi="Times New Roman" w:eastAsia="黑体"/>
          <w:sz w:val="32"/>
          <w:szCs w:val="24"/>
        </w:rPr>
        <w:t xml:space="preserve">4  应急分级及响应 </w:t>
      </w:r>
    </w:p>
    <w:p w14:paraId="06B667FF">
      <w:pPr>
        <w:spacing w:line="600" w:lineRule="exact"/>
        <w:ind w:firstLine="320" w:firstLineChars="100"/>
        <w:rPr>
          <w:rFonts w:ascii="Times New Roman" w:hAnsi="Times New Roman" w:eastAsia="仿宋_GB2312"/>
          <w:sz w:val="30"/>
          <w:szCs w:val="30"/>
        </w:rPr>
      </w:pPr>
      <w:r>
        <w:rPr>
          <w:rFonts w:ascii="Times New Roman" w:hAnsi="Times New Roman" w:eastAsia="仿宋_GB2312"/>
          <w:sz w:val="32"/>
          <w:szCs w:val="24"/>
        </w:rPr>
        <w:t>4.1应急分级</w:t>
      </w:r>
      <w:r>
        <w:rPr>
          <w:rFonts w:ascii="Times New Roman" w:hAnsi="Times New Roman" w:eastAsia="仿宋_GB2312"/>
          <w:sz w:val="30"/>
          <w:szCs w:val="30"/>
        </w:rPr>
        <w:t xml:space="preserve"> </w:t>
      </w:r>
    </w:p>
    <w:p w14:paraId="5D2B4D71">
      <w:pPr>
        <w:spacing w:line="600" w:lineRule="exact"/>
        <w:ind w:firstLine="320" w:firstLineChars="100"/>
        <w:rPr>
          <w:rFonts w:ascii="Times New Roman" w:hAnsi="Times New Roman" w:eastAsia="仿宋_GB2312"/>
          <w:sz w:val="30"/>
          <w:szCs w:val="30"/>
        </w:rPr>
      </w:pPr>
      <w:r>
        <w:rPr>
          <w:rFonts w:ascii="Times New Roman" w:hAnsi="Times New Roman" w:eastAsia="仿宋_GB2312"/>
          <w:sz w:val="32"/>
          <w:szCs w:val="24"/>
        </w:rPr>
        <w:t>4.2应急响应</w:t>
      </w:r>
      <w:r>
        <w:rPr>
          <w:rFonts w:ascii="Times New Roman" w:hAnsi="Times New Roman" w:eastAsia="仿宋_GB2312"/>
          <w:sz w:val="30"/>
          <w:szCs w:val="30"/>
        </w:rPr>
        <w:t xml:space="preserve"> </w:t>
      </w:r>
    </w:p>
    <w:p w14:paraId="1A346B0D">
      <w:pPr>
        <w:spacing w:line="600" w:lineRule="exact"/>
        <w:ind w:firstLine="320" w:firstLineChars="100"/>
        <w:rPr>
          <w:rFonts w:ascii="Times New Roman" w:hAnsi="Times New Roman" w:eastAsia="仿宋_GB2312"/>
          <w:sz w:val="30"/>
          <w:szCs w:val="30"/>
        </w:rPr>
      </w:pPr>
      <w:r>
        <w:rPr>
          <w:rFonts w:ascii="Times New Roman" w:hAnsi="Times New Roman" w:eastAsia="仿宋_GB2312"/>
          <w:sz w:val="32"/>
          <w:szCs w:val="24"/>
        </w:rPr>
        <w:t>4.3应急结束</w:t>
      </w:r>
    </w:p>
    <w:p w14:paraId="4E0BD2DA">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4.4信息报送</w:t>
      </w:r>
      <w:r>
        <w:rPr>
          <w:rFonts w:ascii="Times New Roman" w:hAnsi="Times New Roman" w:eastAsia="仿宋_GB2312"/>
          <w:sz w:val="30"/>
          <w:szCs w:val="30"/>
        </w:rPr>
        <w:t xml:space="preserve">  </w:t>
      </w:r>
    </w:p>
    <w:p w14:paraId="55430223">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4.5社会力量</w:t>
      </w:r>
    </w:p>
    <w:p w14:paraId="783B684C">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4.6调查与评估</w:t>
      </w:r>
    </w:p>
    <w:p w14:paraId="117F37C0">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4.7新闻发布</w:t>
      </w:r>
      <w:r>
        <w:rPr>
          <w:rFonts w:ascii="Times New Roman" w:hAnsi="Times New Roman" w:eastAsia="仿宋_GB2312"/>
          <w:sz w:val="30"/>
          <w:szCs w:val="30"/>
        </w:rPr>
        <w:t xml:space="preserve">  </w:t>
      </w:r>
    </w:p>
    <w:p w14:paraId="69433590">
      <w:pPr>
        <w:spacing w:line="600" w:lineRule="exact"/>
        <w:rPr>
          <w:rFonts w:ascii="Times New Roman" w:hAnsi="Times New Roman" w:eastAsia="黑体"/>
          <w:sz w:val="32"/>
          <w:szCs w:val="24"/>
        </w:rPr>
      </w:pPr>
      <w:r>
        <w:rPr>
          <w:rFonts w:ascii="Times New Roman" w:hAnsi="Times New Roman" w:eastAsia="黑体"/>
          <w:sz w:val="32"/>
          <w:szCs w:val="24"/>
        </w:rPr>
        <w:t xml:space="preserve">5 应急保障 </w:t>
      </w:r>
    </w:p>
    <w:p w14:paraId="5A0DDD23">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5.1基础保障</w:t>
      </w:r>
      <w:r>
        <w:rPr>
          <w:rFonts w:ascii="Times New Roman" w:hAnsi="Times New Roman" w:eastAsia="仿宋_GB2312"/>
          <w:sz w:val="30"/>
          <w:szCs w:val="30"/>
        </w:rPr>
        <w:t xml:space="preserve">  </w:t>
      </w:r>
    </w:p>
    <w:p w14:paraId="4CFB121D">
      <w:pPr>
        <w:spacing w:line="600" w:lineRule="exact"/>
        <w:ind w:firstLine="320" w:firstLineChars="100"/>
        <w:rPr>
          <w:rFonts w:ascii="Times New Roman" w:hAnsi="Times New Roman" w:eastAsia="仿宋_GB2312"/>
          <w:sz w:val="30"/>
          <w:szCs w:val="30"/>
        </w:rPr>
      </w:pPr>
      <w:r>
        <w:rPr>
          <w:rFonts w:ascii="Times New Roman" w:hAnsi="Times New Roman" w:eastAsia="仿宋_GB2312"/>
          <w:sz w:val="32"/>
          <w:szCs w:val="24"/>
        </w:rPr>
        <w:t>5.2救援保障</w:t>
      </w:r>
      <w:r>
        <w:rPr>
          <w:rFonts w:ascii="Times New Roman" w:hAnsi="Times New Roman" w:eastAsia="仿宋_GB2312"/>
          <w:sz w:val="30"/>
          <w:szCs w:val="30"/>
        </w:rPr>
        <w:t xml:space="preserve">  </w:t>
      </w:r>
    </w:p>
    <w:p w14:paraId="2169BB23">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5.3技术保障</w:t>
      </w:r>
      <w:r>
        <w:rPr>
          <w:rFonts w:ascii="Times New Roman" w:hAnsi="Times New Roman" w:eastAsia="仿宋_GB2312"/>
          <w:sz w:val="30"/>
          <w:szCs w:val="30"/>
        </w:rPr>
        <w:t xml:space="preserve">  </w:t>
      </w:r>
    </w:p>
    <w:p w14:paraId="598063BB">
      <w:pPr>
        <w:spacing w:line="600" w:lineRule="exact"/>
        <w:ind w:firstLine="320" w:firstLineChars="100"/>
        <w:rPr>
          <w:rFonts w:ascii="Times New Roman" w:hAnsi="Times New Roman" w:eastAsia="仿宋_GB2312"/>
          <w:sz w:val="30"/>
          <w:szCs w:val="30"/>
        </w:rPr>
      </w:pPr>
      <w:r>
        <w:rPr>
          <w:rFonts w:ascii="Times New Roman" w:hAnsi="Times New Roman" w:eastAsia="仿宋_GB2312"/>
          <w:sz w:val="32"/>
          <w:szCs w:val="24"/>
        </w:rPr>
        <w:t>5.4交流培训</w:t>
      </w:r>
      <w:r>
        <w:rPr>
          <w:rFonts w:ascii="Times New Roman" w:hAnsi="Times New Roman" w:eastAsia="仿宋_GB2312"/>
          <w:sz w:val="30"/>
          <w:szCs w:val="30"/>
        </w:rPr>
        <w:t xml:space="preserve">  </w:t>
      </w:r>
    </w:p>
    <w:p w14:paraId="4A713C2C">
      <w:pPr>
        <w:spacing w:line="600" w:lineRule="exact"/>
        <w:rPr>
          <w:rFonts w:ascii="Times New Roman" w:hAnsi="Times New Roman" w:eastAsia="黑体"/>
          <w:sz w:val="32"/>
          <w:szCs w:val="24"/>
        </w:rPr>
      </w:pPr>
      <w:r>
        <w:rPr>
          <w:rFonts w:ascii="Times New Roman" w:hAnsi="Times New Roman" w:eastAsia="黑体"/>
          <w:sz w:val="32"/>
          <w:szCs w:val="24"/>
        </w:rPr>
        <w:t xml:space="preserve">６  后期处置  </w:t>
      </w:r>
    </w:p>
    <w:p w14:paraId="485BD824">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6.1善后处置</w:t>
      </w:r>
      <w:r>
        <w:rPr>
          <w:rFonts w:ascii="Times New Roman" w:hAnsi="Times New Roman" w:eastAsia="仿宋_GB2312"/>
          <w:sz w:val="30"/>
          <w:szCs w:val="30"/>
        </w:rPr>
        <w:t xml:space="preserve">  </w:t>
      </w:r>
    </w:p>
    <w:p w14:paraId="1DCBD7DF">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6.2总结报告</w:t>
      </w:r>
      <w:r>
        <w:rPr>
          <w:rFonts w:ascii="Times New Roman" w:hAnsi="Times New Roman" w:eastAsia="仿宋_GB2312"/>
          <w:sz w:val="30"/>
          <w:szCs w:val="30"/>
        </w:rPr>
        <w:t xml:space="preserve">  </w:t>
      </w:r>
    </w:p>
    <w:p w14:paraId="5C0B4B24">
      <w:pPr>
        <w:spacing w:line="600" w:lineRule="exact"/>
        <w:rPr>
          <w:rFonts w:ascii="Times New Roman" w:hAnsi="Times New Roman" w:eastAsia="黑体"/>
          <w:sz w:val="32"/>
          <w:szCs w:val="24"/>
        </w:rPr>
      </w:pPr>
      <w:r>
        <w:rPr>
          <w:rFonts w:ascii="Times New Roman" w:hAnsi="Times New Roman" w:eastAsia="黑体"/>
          <w:sz w:val="32"/>
          <w:szCs w:val="24"/>
        </w:rPr>
        <w:t xml:space="preserve">7  预案的管理与更新  </w:t>
      </w:r>
    </w:p>
    <w:p w14:paraId="32E07A62">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7.1预案的制定</w:t>
      </w:r>
    </w:p>
    <w:p w14:paraId="60E54B78">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7.2预案的更新</w:t>
      </w:r>
    </w:p>
    <w:p w14:paraId="109D76F2">
      <w:pPr>
        <w:spacing w:line="600" w:lineRule="exact"/>
        <w:ind w:firstLine="320" w:firstLineChars="100"/>
        <w:rPr>
          <w:rFonts w:ascii="Times New Roman" w:hAnsi="Times New Roman" w:eastAsia="仿宋_GB2312"/>
          <w:sz w:val="30"/>
          <w:szCs w:val="30"/>
        </w:rPr>
      </w:pPr>
      <w:r>
        <w:rPr>
          <w:rFonts w:ascii="Times New Roman" w:hAnsi="Times New Roman" w:eastAsia="仿宋_GB2312"/>
          <w:sz w:val="32"/>
          <w:szCs w:val="24"/>
        </w:rPr>
        <w:t>7.3预案的解释</w:t>
      </w:r>
    </w:p>
    <w:p w14:paraId="5C162AB4">
      <w:pPr>
        <w:spacing w:line="560" w:lineRule="exact"/>
        <w:rPr>
          <w:rFonts w:ascii="Times New Roman" w:hAnsi="Times New Roman" w:eastAsia="仿宋_GB2312"/>
          <w:sz w:val="32"/>
          <w:szCs w:val="24"/>
        </w:rPr>
      </w:pPr>
    </w:p>
    <w:p w14:paraId="66A9CC18">
      <w:pPr>
        <w:spacing w:line="560" w:lineRule="exact"/>
        <w:rPr>
          <w:rFonts w:ascii="Times New Roman" w:hAnsi="Times New Roman" w:eastAsia="黑体"/>
          <w:sz w:val="32"/>
          <w:szCs w:val="24"/>
        </w:rPr>
      </w:pPr>
    </w:p>
    <w:p w14:paraId="0C52A6A2">
      <w:pPr>
        <w:spacing w:line="560" w:lineRule="exact"/>
        <w:rPr>
          <w:rFonts w:ascii="Times New Roman" w:hAnsi="Times New Roman" w:eastAsia="黑体"/>
          <w:sz w:val="32"/>
          <w:szCs w:val="24"/>
        </w:rPr>
        <w:sectPr>
          <w:pgSz w:w="11906" w:h="16838"/>
          <w:pgMar w:top="2098" w:right="1474" w:bottom="1985" w:left="1588" w:header="851" w:footer="1588" w:gutter="0"/>
          <w:cols w:space="425" w:num="1"/>
          <w:docGrid w:linePitch="312" w:charSpace="0"/>
        </w:sectPr>
      </w:pPr>
    </w:p>
    <w:p w14:paraId="5C135E78">
      <w:pPr>
        <w:spacing w:line="560" w:lineRule="exact"/>
        <w:ind w:firstLine="640" w:firstLineChars="200"/>
        <w:rPr>
          <w:rFonts w:ascii="Times New Roman" w:hAnsi="Times New Roman" w:eastAsia="黑体"/>
          <w:sz w:val="32"/>
          <w:szCs w:val="24"/>
        </w:rPr>
      </w:pPr>
      <w:r>
        <w:rPr>
          <w:rFonts w:ascii="Times New Roman" w:hAnsi="Times New Roman" w:eastAsia="黑体"/>
          <w:sz w:val="32"/>
          <w:szCs w:val="24"/>
        </w:rPr>
        <w:t>1  总则</w:t>
      </w:r>
    </w:p>
    <w:p w14:paraId="0FE8672C">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1.1  编制目的</w:t>
      </w:r>
    </w:p>
    <w:p w14:paraId="6745F80A">
      <w:pPr>
        <w:spacing w:line="560" w:lineRule="exact"/>
        <w:ind w:firstLine="640" w:firstLineChars="200"/>
        <w:rPr>
          <w:rFonts w:ascii="Times New Roman" w:hAnsi="Times New Roman" w:eastAsia="楷体_GB2312"/>
          <w:sz w:val="32"/>
          <w:szCs w:val="24"/>
        </w:rPr>
      </w:pPr>
      <w:r>
        <w:rPr>
          <w:rFonts w:ascii="Times New Roman" w:hAnsi="Times New Roman" w:eastAsia="仿宋_GB2312"/>
          <w:sz w:val="32"/>
          <w:szCs w:val="24"/>
        </w:rPr>
        <w:t>为提高应对突发公共事件和抵御风险的能力，及时、有效地处置大型体育赛事及大众体育活动中可能出现的突发事件，最大程度地减少人员伤亡、财产损失和社会负面影响，特制定本预案。</w:t>
      </w:r>
    </w:p>
    <w:p w14:paraId="304C3ADB">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1.2  编制原则</w:t>
      </w:r>
    </w:p>
    <w:p w14:paraId="4AEECE3E">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大型体育赛事及大众体育活动突发事件的预防预警和应急处置，应当遵循“以人为本、</w:t>
      </w:r>
      <w:r>
        <w:rPr>
          <w:rFonts w:ascii="Times New Roman" w:hAnsi="Times New Roman" w:eastAsia="仿宋_GB2312"/>
          <w:color w:val="000000"/>
          <w:sz w:val="32"/>
          <w:szCs w:val="24"/>
        </w:rPr>
        <w:t>预防为主</w:t>
      </w:r>
      <w:r>
        <w:rPr>
          <w:rFonts w:ascii="Times New Roman" w:hAnsi="Times New Roman" w:eastAsia="仿宋_GB2312"/>
          <w:sz w:val="32"/>
          <w:szCs w:val="24"/>
        </w:rPr>
        <w:t>、科学处置、高效实用”的指导方针；坚持统一指挥，逐级负责，政府主导，属地管理，实行条块结合、以块为主；按照“谁主办（管）、谁牵头”、“谁承办、谁负责”的原则，建立“职责明确、分工协作、规范有序、资源统筹、信息共享、反应迅速”的工作机制。</w:t>
      </w:r>
    </w:p>
    <w:p w14:paraId="5926E30B">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1.3  编制依据</w:t>
      </w:r>
    </w:p>
    <w:p w14:paraId="3977A2E2">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20"/>
        </w:rPr>
        <w:t>以习近平新时代中国特色社会主义思想为指导，依照《中华人民共和国安全生产法》《中华人民共和国体育法》《群众性文化体育活动治安管理办法》</w:t>
      </w:r>
      <w:r>
        <w:rPr>
          <w:rFonts w:ascii="Times New Roman" w:hAnsi="Times New Roman" w:eastAsia="仿宋_GB2312"/>
          <w:kern w:val="0"/>
          <w:sz w:val="32"/>
          <w:szCs w:val="32"/>
          <w:shd w:val="clear" w:color="auto" w:fill="FFFFFF"/>
        </w:rPr>
        <w:t>《江苏省安全生产条例》《江苏省突发事件总体应急预案》《连云港市突发事件总体应急预案》《连云港市大型体育赛事及大众体育活动突发公共事件应急预案》</w:t>
      </w:r>
      <w:r>
        <w:rPr>
          <w:rFonts w:ascii="Times New Roman" w:hAnsi="Times New Roman" w:eastAsia="仿宋_GB2312"/>
          <w:kern w:val="0"/>
          <w:sz w:val="32"/>
          <w:szCs w:val="20"/>
        </w:rPr>
        <w:t>等法律法规及规范性文件，</w:t>
      </w:r>
      <w:r>
        <w:rPr>
          <w:rFonts w:ascii="Times New Roman" w:hAnsi="Times New Roman" w:eastAsia="仿宋_GB2312"/>
          <w:kern w:val="0"/>
          <w:sz w:val="32"/>
          <w:szCs w:val="32"/>
          <w:shd w:val="clear" w:color="auto" w:fill="FFFFFF"/>
        </w:rPr>
        <w:t>结合我区实际，制定本预案。</w:t>
      </w:r>
    </w:p>
    <w:p w14:paraId="34ECDB5B">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1.4  适用范围</w:t>
      </w:r>
    </w:p>
    <w:p w14:paraId="0DC0DB3B">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本预案适用于在连云港经济技术开发区辖区内举行的各级各类大型体育赛事及大众体育活动。</w:t>
      </w:r>
    </w:p>
    <w:p w14:paraId="1D66A944">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1.4.1  大型体育赛事</w:t>
      </w:r>
    </w:p>
    <w:p w14:paraId="72779286">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大型体育赛事是指经国家体育总局、江苏省人民政府或连云港市人民政府批准，在连云港经济技术开发区辖区内举办的具有一定规模（</w:t>
      </w:r>
      <w:r>
        <w:rPr>
          <w:rFonts w:ascii="Times New Roman" w:hAnsi="Times New Roman" w:eastAsia="仿宋_GB2312"/>
          <w:color w:val="000000"/>
          <w:sz w:val="32"/>
          <w:szCs w:val="24"/>
        </w:rPr>
        <w:t>参赛运动员达到200人以上或观众达到6000人次以上</w:t>
      </w:r>
      <w:r>
        <w:rPr>
          <w:rFonts w:ascii="Times New Roman" w:hAnsi="Times New Roman" w:eastAsia="仿宋_GB2312"/>
          <w:sz w:val="32"/>
          <w:szCs w:val="24"/>
        </w:rPr>
        <w:t>）的</w:t>
      </w:r>
      <w:r>
        <w:rPr>
          <w:rFonts w:ascii="Times New Roman" w:hAnsi="Times New Roman" w:eastAsia="仿宋_GB2312"/>
          <w:color w:val="000000"/>
          <w:sz w:val="32"/>
          <w:szCs w:val="24"/>
        </w:rPr>
        <w:t>国际性、全国、全省及地方性综合、单项体育比赛活动。</w:t>
      </w:r>
    </w:p>
    <w:p w14:paraId="70450322">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1.4.2  大众体育活动</w:t>
      </w:r>
    </w:p>
    <w:p w14:paraId="28D99EE2">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sz w:val="32"/>
          <w:szCs w:val="32"/>
        </w:rPr>
        <w:t>大众体育活动</w:t>
      </w:r>
      <w:r>
        <w:rPr>
          <w:rFonts w:ascii="Times New Roman" w:hAnsi="Times New Roman" w:eastAsia="仿宋_GB2312"/>
          <w:color w:val="000000"/>
          <w:sz w:val="32"/>
          <w:szCs w:val="32"/>
        </w:rPr>
        <w:t>是指经市级以上人民政府、体育行政主管部门批准，旨在推动全民健身、促进全民体质提高，参与人数达到一定规模（观众及参与者总数达到6000人次以上）的群众性体育活动。</w:t>
      </w:r>
    </w:p>
    <w:p w14:paraId="7BE8E57E">
      <w:pPr>
        <w:spacing w:line="560" w:lineRule="exact"/>
        <w:ind w:firstLine="640" w:firstLineChars="200"/>
        <w:rPr>
          <w:rFonts w:ascii="Times New Roman" w:hAnsi="Times New Roman" w:eastAsia="仿宋_GB2312"/>
          <w:color w:val="000000"/>
          <w:sz w:val="32"/>
          <w:szCs w:val="32"/>
        </w:rPr>
      </w:pPr>
      <w:r>
        <w:rPr>
          <w:rFonts w:ascii="Times New Roman" w:hAnsi="Times New Roman" w:eastAsia="黑体"/>
          <w:sz w:val="32"/>
          <w:szCs w:val="24"/>
        </w:rPr>
        <w:t>2  组织体系</w:t>
      </w:r>
    </w:p>
    <w:p w14:paraId="565F9262">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2.1  组织机构和职责</w:t>
      </w:r>
    </w:p>
    <w:p w14:paraId="7FB214A1">
      <w:pPr>
        <w:spacing w:line="560" w:lineRule="exact"/>
        <w:ind w:firstLine="660"/>
        <w:rPr>
          <w:rFonts w:ascii="Times New Roman" w:hAnsi="Times New Roman" w:eastAsia="仿宋_GB2312"/>
          <w:sz w:val="32"/>
          <w:szCs w:val="24"/>
        </w:rPr>
      </w:pPr>
      <w:r>
        <w:rPr>
          <w:rFonts w:ascii="Times New Roman" w:hAnsi="Times New Roman" w:eastAsia="仿宋_GB2312"/>
          <w:sz w:val="32"/>
          <w:szCs w:val="24"/>
        </w:rPr>
        <w:t>区管委会成立大型体育赛事及大众体育活动突发事件应急指挥部（以下简称区应急指挥部），负责统一指挥、协调大型体育赛事及大众体育活动突发事件应急工作。管委会分管领导担任总指挥，区社会事业局局长担任副总指挥，组织宣传部、财政局、社会事业局、综合行政执法局、应急局、开发区公安分局、开发区消防救援大队、</w:t>
      </w:r>
      <w:r>
        <w:rPr>
          <w:rFonts w:ascii="Times New Roman" w:hAnsi="Times New Roman" w:eastAsia="仿宋_GB2312"/>
          <w:sz w:val="32"/>
          <w:szCs w:val="32"/>
          <w:shd w:val="clear" w:color="auto" w:fill="FFFFFF"/>
        </w:rPr>
        <w:t>国网连云港供电公司</w:t>
      </w:r>
      <w:r>
        <w:rPr>
          <w:rFonts w:ascii="Times New Roman" w:hAnsi="Times New Roman" w:eastAsia="仿宋_GB2312"/>
          <w:sz w:val="32"/>
          <w:szCs w:val="24"/>
        </w:rPr>
        <w:t>等部门负责同志任成员。</w:t>
      </w:r>
    </w:p>
    <w:p w14:paraId="7B5A8AA2">
      <w:pPr>
        <w:spacing w:line="560" w:lineRule="exact"/>
        <w:ind w:firstLine="640" w:firstLineChars="200"/>
        <w:rPr>
          <w:rFonts w:ascii="Times New Roman" w:hAnsi="Times New Roman" w:eastAsia="仿宋_GB2312"/>
          <w:color w:val="000000"/>
          <w:sz w:val="32"/>
          <w:szCs w:val="24"/>
        </w:rPr>
      </w:pPr>
      <w:r>
        <w:rPr>
          <w:rFonts w:ascii="Times New Roman" w:hAnsi="Times New Roman" w:eastAsia="仿宋_GB2312"/>
          <w:sz w:val="32"/>
          <w:szCs w:val="24"/>
        </w:rPr>
        <w:t>大型体育赛事及大众体育活动突发事件应急指挥部办公室（以下简称区应急指挥部办公室）</w:t>
      </w:r>
      <w:r>
        <w:rPr>
          <w:rFonts w:ascii="Times New Roman" w:hAnsi="Times New Roman" w:eastAsia="仿宋_GB2312"/>
          <w:color w:val="000000"/>
          <w:sz w:val="32"/>
          <w:szCs w:val="24"/>
        </w:rPr>
        <w:t>，设在区社会事业局，负责应急指挥部的日常工作。办公室主要职责：负责大型体育赛事及大众体育活动突发事件应急预案的起草与实施，及时向区应急指挥部报告重要情况和建议，指导和协助街道办事处做好突发事件的预防、应急准备、应急处置等工作。</w:t>
      </w:r>
    </w:p>
    <w:p w14:paraId="637DC490">
      <w:pPr>
        <w:spacing w:line="560" w:lineRule="exact"/>
        <w:ind w:firstLine="660"/>
        <w:rPr>
          <w:rFonts w:ascii="Times New Roman" w:hAnsi="Times New Roman" w:eastAsia="楷体_GB2312"/>
          <w:sz w:val="32"/>
          <w:szCs w:val="24"/>
        </w:rPr>
      </w:pPr>
      <w:r>
        <w:rPr>
          <w:rFonts w:ascii="Times New Roman" w:hAnsi="Times New Roman" w:eastAsia="楷体_GB2312"/>
          <w:sz w:val="32"/>
          <w:szCs w:val="24"/>
        </w:rPr>
        <w:t>2.2  指挥部成员单位及其职责</w:t>
      </w:r>
    </w:p>
    <w:p w14:paraId="1DC628B9">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组织宣传部：负责组织协调</w:t>
      </w:r>
      <w:r>
        <w:rPr>
          <w:rFonts w:ascii="Times New Roman" w:hAnsi="Times New Roman" w:eastAsia="仿宋_GB2312"/>
          <w:kern w:val="0"/>
          <w:sz w:val="32"/>
          <w:szCs w:val="20"/>
        </w:rPr>
        <w:t>大型体育赛事及大众体育活动突发事件</w:t>
      </w:r>
      <w:r>
        <w:rPr>
          <w:rFonts w:ascii="Times New Roman" w:hAnsi="Times New Roman" w:eastAsia="仿宋_GB2312"/>
          <w:kern w:val="0"/>
          <w:sz w:val="32"/>
          <w:szCs w:val="32"/>
          <w:shd w:val="clear" w:color="auto" w:fill="FFFFFF"/>
        </w:rPr>
        <w:t>应急处置的信息发布，新闻报道和网络舆情引导等工作。</w:t>
      </w:r>
    </w:p>
    <w:p w14:paraId="5C20715D">
      <w:pPr>
        <w:spacing w:line="560" w:lineRule="exact"/>
        <w:ind w:firstLine="645"/>
        <w:rPr>
          <w:rFonts w:ascii="Times New Roman" w:hAnsi="Times New Roman" w:eastAsia="仿宋_GB2312"/>
          <w:sz w:val="32"/>
          <w:szCs w:val="32"/>
        </w:rPr>
      </w:pPr>
      <w:r>
        <w:rPr>
          <w:rFonts w:ascii="Times New Roman" w:hAnsi="Times New Roman" w:eastAsia="仿宋_GB2312"/>
          <w:sz w:val="32"/>
          <w:szCs w:val="24"/>
        </w:rPr>
        <w:t>财政局：</w:t>
      </w:r>
      <w:r>
        <w:rPr>
          <w:rFonts w:ascii="Times New Roman" w:hAnsi="Times New Roman" w:eastAsia="仿宋_GB2312"/>
          <w:sz w:val="32"/>
          <w:szCs w:val="32"/>
        </w:rPr>
        <w:t>负责筹措突发事件应急资金和必要工作经费并及时拨付，对资金使用情况进行监督管理。</w:t>
      </w:r>
    </w:p>
    <w:p w14:paraId="5EE18D49">
      <w:pPr>
        <w:spacing w:line="560" w:lineRule="exact"/>
        <w:ind w:firstLine="645"/>
        <w:rPr>
          <w:rStyle w:val="57"/>
          <w:rFonts w:ascii="Times New Roman" w:hAnsi="Times New Roman" w:eastAsia="仿宋_GB2312"/>
          <w:sz w:val="32"/>
          <w:szCs w:val="32"/>
        </w:rPr>
      </w:pPr>
      <w:r>
        <w:rPr>
          <w:rFonts w:ascii="Times New Roman" w:hAnsi="Times New Roman" w:eastAsia="仿宋_GB2312"/>
          <w:sz w:val="32"/>
          <w:szCs w:val="24"/>
        </w:rPr>
        <w:t>社会事业局：负责突发事件应急预案的制定、运行及应急响应行动，落实预防预警、信息传输、应急响应、应急处置和应急保障上作；指导承办地街道办事处做好大型体育赛事及大众体育活动突发事件应急处置的相关工作。</w:t>
      </w:r>
      <w:r>
        <w:rPr>
          <w:rStyle w:val="57"/>
          <w:rFonts w:ascii="Times New Roman" w:hAnsi="Times New Roman" w:eastAsia="仿宋_GB2312"/>
          <w:sz w:val="32"/>
          <w:szCs w:val="32"/>
        </w:rPr>
        <w:t>负责组织指挥医疗救援工作及各项急救措施的实施，并根据需要，对突发事件的医疗救援提供技术指导。</w:t>
      </w:r>
    </w:p>
    <w:p w14:paraId="00E2083B">
      <w:pPr>
        <w:spacing w:line="560" w:lineRule="exact"/>
        <w:ind w:firstLine="645"/>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综合行政执法局：负责根据实际情况和应急指挥部的指令，及时提供药品、器械等医疗卫生物资和设备。</w:t>
      </w:r>
    </w:p>
    <w:p w14:paraId="6DF81903">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应急局：</w:t>
      </w:r>
      <w:r>
        <w:rPr>
          <w:rFonts w:ascii="Times New Roman" w:hAnsi="Times New Roman" w:eastAsia="仿宋_GB2312"/>
          <w:kern w:val="0"/>
          <w:sz w:val="32"/>
          <w:szCs w:val="32"/>
        </w:rPr>
        <w:t>负责协调相关应急救援队伍参与</w:t>
      </w:r>
      <w:r>
        <w:rPr>
          <w:rFonts w:ascii="Times New Roman" w:hAnsi="Times New Roman" w:eastAsia="仿宋_GB2312"/>
          <w:kern w:val="0"/>
          <w:sz w:val="32"/>
          <w:szCs w:val="20"/>
        </w:rPr>
        <w:t>大型体育赛事及大众体育活动突发事件</w:t>
      </w:r>
      <w:r>
        <w:rPr>
          <w:rFonts w:ascii="Times New Roman" w:hAnsi="Times New Roman" w:eastAsia="仿宋_GB2312"/>
          <w:kern w:val="0"/>
          <w:sz w:val="32"/>
          <w:szCs w:val="32"/>
          <w:shd w:val="clear" w:color="auto" w:fill="FFFFFF"/>
        </w:rPr>
        <w:t>应急救援活动。</w:t>
      </w:r>
    </w:p>
    <w:p w14:paraId="5453F815">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sz w:val="32"/>
          <w:szCs w:val="24"/>
        </w:rPr>
        <w:t>开发区公安分局：</w:t>
      </w:r>
      <w:r>
        <w:rPr>
          <w:rFonts w:ascii="Times New Roman" w:hAnsi="Times New Roman" w:eastAsia="仿宋_GB2312"/>
          <w:kern w:val="0"/>
          <w:sz w:val="32"/>
          <w:szCs w:val="32"/>
          <w:shd w:val="clear" w:color="auto" w:fill="FFFFFF"/>
        </w:rPr>
        <w:t>负责维护突发事件现场及周边的治安秩序、交通管制等工作；负责对事故单位相关责任人的控制；依法打击事件中扰乱社会秩序、妨害社会稳定、危害公共安全、侵犯公民人身安全和公私财产安全以及采取过激或暴力形式从事违法犯罪等行为。</w:t>
      </w:r>
    </w:p>
    <w:p w14:paraId="4B183F0E">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20"/>
        </w:rPr>
        <w:t>开发区消防救援大队：</w:t>
      </w:r>
      <w:r>
        <w:rPr>
          <w:rFonts w:ascii="Times New Roman" w:hAnsi="Times New Roman" w:eastAsia="仿宋_GB2312"/>
          <w:kern w:val="0"/>
          <w:sz w:val="32"/>
          <w:szCs w:val="32"/>
          <w:shd w:val="clear" w:color="auto" w:fill="FFFFFF"/>
        </w:rPr>
        <w:t>负责突发事件现场的灭火以及抢救人民生命财产安全的应急救援；负责协助相关部门依法处置</w:t>
      </w:r>
      <w:r>
        <w:rPr>
          <w:rFonts w:ascii="Times New Roman" w:hAnsi="Times New Roman" w:eastAsia="仿宋_GB2312"/>
          <w:kern w:val="0"/>
          <w:sz w:val="32"/>
          <w:szCs w:val="20"/>
        </w:rPr>
        <w:t>大型体育赛事及大众体育活动</w:t>
      </w:r>
      <w:r>
        <w:rPr>
          <w:rFonts w:ascii="Times New Roman" w:hAnsi="Times New Roman" w:eastAsia="仿宋_GB2312"/>
          <w:kern w:val="0"/>
          <w:sz w:val="32"/>
          <w:szCs w:val="32"/>
          <w:shd w:val="clear" w:color="auto" w:fill="FFFFFF"/>
        </w:rPr>
        <w:t>突发事件。</w:t>
      </w:r>
    </w:p>
    <w:p w14:paraId="5AD6F0ED">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国网连云港供电公司：负责做好本系统管辖范围内突发事件现场及周边供电设施的安全防护。</w:t>
      </w:r>
    </w:p>
    <w:p w14:paraId="09CCB634">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区应急指挥部成员单位应根据应急工作任务要求，针对大型体育赛事及大众体育活动中可能突发事件的应急处置需要，研究制定相应的应急工作预案，调配可用资源，提供应急保障，落实救援保障措施，全力配合区应急指挥部办公室和组委会的工作，迅速组织实施应急救援保障工作。</w:t>
      </w:r>
    </w:p>
    <w:p w14:paraId="36B28F20">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2.3  组织委员会</w:t>
      </w:r>
    </w:p>
    <w:p w14:paraId="1551987F">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大型体育赛事及大众体育活动举办前，在市体育局和区管委会的统一领导下，成立由赛事及活动主办者、承办者和管委会相关部门负责人组成的大型体育赛事及大众体育活动组织委员会（以下简称组委会），具体负责赛事及活动的管理。</w:t>
      </w:r>
    </w:p>
    <w:p w14:paraId="1B6E4F09">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组委会具体负责当次活动应急工作预案的制定、预防预警信息的收集整理、综合分析，信息的上传和发布，调查、评估突发事件原因，汇总应急工作情况，整合资源，协调工作进程，按照上级领导机构规定的统一口径，发布新闻。</w:t>
      </w:r>
    </w:p>
    <w:p w14:paraId="6B0BA869">
      <w:pPr>
        <w:spacing w:line="560" w:lineRule="exact"/>
        <w:ind w:firstLine="660"/>
        <w:rPr>
          <w:rFonts w:ascii="Times New Roman" w:hAnsi="Times New Roman" w:eastAsia="楷体_GB2312"/>
          <w:sz w:val="32"/>
          <w:szCs w:val="24"/>
        </w:rPr>
      </w:pPr>
      <w:r>
        <w:rPr>
          <w:rFonts w:ascii="Times New Roman" w:hAnsi="Times New Roman" w:eastAsia="楷体_GB2312"/>
          <w:sz w:val="32"/>
          <w:szCs w:val="24"/>
        </w:rPr>
        <w:t>2.4  应急工作组</w:t>
      </w:r>
    </w:p>
    <w:p w14:paraId="57D0D44F">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根据应急处置工作需要，区应急指挥部牵头，负责组建现场应急指挥部，建立现场</w:t>
      </w:r>
      <w:r>
        <w:rPr>
          <w:rFonts w:ascii="Times New Roman" w:hAnsi="Times New Roman" w:eastAsia="仿宋_GB2312"/>
          <w:color w:val="000000"/>
          <w:kern w:val="0"/>
          <w:sz w:val="32"/>
          <w:szCs w:val="20"/>
        </w:rPr>
        <w:t>应急</w:t>
      </w:r>
      <w:r>
        <w:rPr>
          <w:rFonts w:ascii="Times New Roman" w:hAnsi="Times New Roman" w:eastAsia="仿宋_GB2312"/>
          <w:kern w:val="0"/>
          <w:sz w:val="32"/>
          <w:szCs w:val="32"/>
          <w:shd w:val="clear" w:color="auto" w:fill="FFFFFF"/>
        </w:rPr>
        <w:t>指挥部相关运行工作制度，分工协作有序开展现场处置和救援工作。</w:t>
      </w:r>
    </w:p>
    <w:p w14:paraId="6FFCDC51">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主要职责：迅速组织开展事故的先期处置工作；具体组织实施现场应急救援和处置行动，依据现场情况，指挥有关部门和各类救援队伍、保障力量进行应急救援行动，协调和落实现场处置的具体事项；开展事故原因调查和等级评估；全面掌握事故发生、发展的全过程及相关情况，及时向区</w:t>
      </w:r>
      <w:r>
        <w:rPr>
          <w:rFonts w:ascii="Times New Roman" w:hAnsi="Times New Roman" w:eastAsia="仿宋_GB2312"/>
          <w:color w:val="000000"/>
          <w:kern w:val="0"/>
          <w:sz w:val="32"/>
          <w:szCs w:val="20"/>
        </w:rPr>
        <w:t>应急</w:t>
      </w:r>
      <w:r>
        <w:rPr>
          <w:rFonts w:ascii="Times New Roman" w:hAnsi="Times New Roman" w:eastAsia="仿宋_GB2312"/>
          <w:kern w:val="0"/>
          <w:sz w:val="32"/>
          <w:szCs w:val="32"/>
          <w:shd w:val="clear" w:color="auto" w:fill="FFFFFF"/>
        </w:rPr>
        <w:t>指挥部报告；提出请求人员、物资、设备支援的建议；落实区</w:t>
      </w:r>
      <w:r>
        <w:rPr>
          <w:rFonts w:ascii="Times New Roman" w:hAnsi="Times New Roman" w:eastAsia="仿宋_GB2312"/>
          <w:color w:val="000000"/>
          <w:kern w:val="0"/>
          <w:sz w:val="32"/>
          <w:szCs w:val="20"/>
        </w:rPr>
        <w:t>应急</w:t>
      </w:r>
      <w:r>
        <w:rPr>
          <w:rFonts w:ascii="Times New Roman" w:hAnsi="Times New Roman" w:eastAsia="仿宋_GB2312"/>
          <w:kern w:val="0"/>
          <w:sz w:val="32"/>
          <w:szCs w:val="32"/>
          <w:shd w:val="clear" w:color="auto" w:fill="FFFFFF"/>
        </w:rPr>
        <w:t>指挥部的各项指示。</w:t>
      </w:r>
    </w:p>
    <w:p w14:paraId="09DFC5C2">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color w:val="000000"/>
          <w:sz w:val="32"/>
          <w:szCs w:val="32"/>
        </w:rPr>
        <w:t>现场应急指挥部应根据应急工作需要，成立综合协调组、应急专家组、宣传信息组、抢险处置组、医疗救护组、后勤保障组、调查善后组等，</w:t>
      </w:r>
      <w:r>
        <w:rPr>
          <w:rFonts w:ascii="Times New Roman" w:hAnsi="Times New Roman" w:eastAsia="仿宋_GB2312"/>
          <w:sz w:val="32"/>
          <w:szCs w:val="32"/>
          <w:shd w:val="clear" w:color="auto" w:fill="FFFFFF"/>
        </w:rPr>
        <w:t>可根据实际进行增减调整，常用工作组其组成和职责如下：</w:t>
      </w:r>
    </w:p>
    <w:p w14:paraId="111003EC">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一）综合协调组。由区社会事业局牵头，区有关部门（单位），有关街道办事处配合成立。主要职责是记录大型体育赛事或大众体育活动突发事件发生、发展及处置情况，及时向上级汇报事故动态，传达上级指示，协助现场总指挥协调各工作组参与处置工作。</w:t>
      </w:r>
    </w:p>
    <w:p w14:paraId="4E9A63D5">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（二）应急专家组。由区社会事业局牵头，区有关部门（单位）选派的应急专家配合成立，主要职责是分析、研判事故情况，为现场总指挥提供技术支持和决策咨询。</w:t>
      </w:r>
    </w:p>
    <w:p w14:paraId="0F375D83">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三）抢险救灾组。由区社会事业局和区消防救援大队牵头，区应急管理局、区住建局、有关专业应急救援队伍、供电、供水、通讯等企业，街道办事处配合成立，主要职责是实施应急救援、危险源控制、火灾扑救、工程抢险、工程加固和清理现场等工作，并为事故调查收集有关资料。</w:t>
      </w:r>
    </w:p>
    <w:p w14:paraId="1B9F7AD5">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（四）治安疏导组。由区公安分局牵头，涉事单位配合成立，组织警力对大型体育赛事或大众体育活动突发事件现场及周边地区实施警戒，维持治安秩序，实施交通管制，疏散和撤离受灾人员。</w:t>
      </w:r>
    </w:p>
    <w:p w14:paraId="1F1F72E4">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（五）医疗卫生组。由区社会事业局牵头，有关街道办事处配合成立，主要职责是组织专业救护机构、人员开展现场救护、院前急救、专科医救、卫生防疫等工作。</w:t>
      </w:r>
    </w:p>
    <w:p w14:paraId="7A0DF11E">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六）新闻宣传组。由区组织宣传部牵头，区有关部门（单位），有关街道办事处配合成立，主要职责是统一发布大型体育赛事或大众体育活动突发事件信息，客观公布事故进展、政府举措、公共防范措施，并根据处置情况做好后续信息发布工作。</w:t>
      </w:r>
    </w:p>
    <w:p w14:paraId="6D04BDA5">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七）后勤保障组。由区党政办牵头，区经济发展局、财政局等部门，有关街道办事处，涉事单位配合成立，主要职责是根据大型体育赛事或大众体育活动突发事件处置工作需求，及时提供资金、物资、装备、食品、供电、供水、供气和通讯等方面的后勤服务和资源保障。</w:t>
      </w:r>
    </w:p>
    <w:p w14:paraId="5474D7A9">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八）调查评估组。由区管委会或指定的部门牵头，区纪工委监察工委、区总工会，区有关部门（单位），有关街道办事处配合成立，主要职责是及时查明大型体育赛事或大众体育活动突发事件的发生经过和原因，总结处置工作的经验教训，制定改进措施，评估突发事件损失。</w:t>
      </w:r>
    </w:p>
    <w:p w14:paraId="23E4C629">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九）善后处置组。由街道办事处牵头，区有关部门（单位）配合成立，主要职责是实施救助、补偿、抚慰、抚恤等工作，安置受灾人员，处理死难人员尸体；接受和管理社会各界捐赠；提供心理咨询辅导和司法援助；预防和解决因处置大型体育赛事或大众体育活动突发事件引发的矛盾和纠纷。</w:t>
      </w:r>
    </w:p>
    <w:p w14:paraId="06DB9F2D">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黑体"/>
          <w:sz w:val="32"/>
          <w:szCs w:val="24"/>
        </w:rPr>
        <w:t>3  预防和预警机制</w:t>
      </w:r>
    </w:p>
    <w:p w14:paraId="78347D44">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3.1  预防预警</w:t>
      </w:r>
    </w:p>
    <w:p w14:paraId="77193FA9">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3.1.1  审批登记</w:t>
      </w:r>
    </w:p>
    <w:p w14:paraId="3C129DBD">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举办区级及以上的大型体育竞赛或大众体育活动，必须根据《中华人民共和国体育法》、《全国体育竞赛管理办法（试行）》、《关于申办国际体育活动报批程序的规定》、《群众性文化体育活动治安管理办法》及行政许可的有关规定，实行审批登记。</w:t>
      </w:r>
    </w:p>
    <w:p w14:paraId="69FF773F">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3.1.2  预防预警机构</w:t>
      </w:r>
    </w:p>
    <w:p w14:paraId="5E063BA0">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组委会下设安全保卫部，安全保卫部在组委会授权下具体履行安全保卫职责，负责制定和部署安保方案、应急预案，落实预防预警和应急处置措施。组委会负责人为安全保卫工作第一责任人。</w:t>
      </w:r>
    </w:p>
    <w:p w14:paraId="74C6442A">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3.1.3  信息员</w:t>
      </w:r>
    </w:p>
    <w:p w14:paraId="2D60459F">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组委会应根据自身特点在治安、保卫、消防、交通、气象、公共卫生、场地设施安全等方面分别确定专职信息工作人员，信息员的职责是了解和采集活动场所、设施器材安全、人流量、食品安全和卫生、消防、交通、气象等方面的情况和安全信息，及时上报区应急指挥部办公室。</w:t>
      </w:r>
    </w:p>
    <w:p w14:paraId="327BA3F0">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3.1.4  信息采集</w:t>
      </w:r>
    </w:p>
    <w:p w14:paraId="719A9BB3">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大型体育赛事及大众体育活动具有参与人数多、社会影响大、人流密集等特点，组织大型体育赛事或大众体育活动的主办单位、承办单位要建立并完善预警信息工作网络和信息采集工作制度。在治安、保卫、消防、交通、气象、公共卫生、场地设施安全等方面确定专职信息工作人员，信息员负责相应领域内预警信息的采集和汇报。</w:t>
      </w:r>
    </w:p>
    <w:p w14:paraId="531180A0">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3.1.5  预警信息报送</w:t>
      </w:r>
    </w:p>
    <w:p w14:paraId="7DFE8495">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预警信息报告要及时、准确、客观、真实，报告程序为：信息员上报至组委会，组委会上报至区应急指挥部办公室，应急指挥部办公室上报至区应急指挥部，重大预警信息应急指挥部办公室要及时报告区管委会和市体育局。</w:t>
      </w:r>
    </w:p>
    <w:p w14:paraId="64D5EEF3">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3.2  预防预警行动</w:t>
      </w:r>
    </w:p>
    <w:p w14:paraId="10E81CC2">
      <w:pPr>
        <w:spacing w:line="560" w:lineRule="exact"/>
        <w:ind w:firstLine="640" w:firstLineChars="200"/>
        <w:rPr>
          <w:rFonts w:ascii="Times New Roman" w:hAnsi="Times New Roman" w:eastAsia="楷体_GB2312"/>
          <w:sz w:val="32"/>
          <w:szCs w:val="24"/>
        </w:rPr>
      </w:pPr>
      <w:r>
        <w:rPr>
          <w:rFonts w:ascii="Times New Roman" w:hAnsi="Times New Roman" w:eastAsia="仿宋_GB2312"/>
          <w:sz w:val="32"/>
          <w:szCs w:val="24"/>
        </w:rPr>
        <w:t>3.2.1  行动方案</w:t>
      </w:r>
    </w:p>
    <w:p w14:paraId="21ABDC57">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组委会认真履行应急工作职责，按照本预案工作原则和要求，督促参赛组织和体育场所管理单位，落实安全预防预警和应急处置工作，配合做好可能突发公共事件的各项应急准备工作。</w:t>
      </w:r>
    </w:p>
    <w:p w14:paraId="7887AE1F">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3.2.2  行动重点</w:t>
      </w:r>
    </w:p>
    <w:p w14:paraId="5BE32E8F">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防范大规模观众骚乱、防范人员踩踏伤亡、防范爆炸、防范火灾、防范建筑物倒塌是大型体育赛事或大众体育活动预防与应急工作的重点。</w:t>
      </w:r>
    </w:p>
    <w:p w14:paraId="25A61582">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3.2.3  场所设施</w:t>
      </w:r>
    </w:p>
    <w:p w14:paraId="32057376">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大型体育赛事及大众体育活动场所接纳人员不得超出该场所设计或有关部门核准的人员容量，场地、建筑、通道、设施、环境必须符合国家公安、消防、卫生有关安全要求，保证人员紧急疏散和抢险、救援工作顺利进行的需要。</w:t>
      </w:r>
    </w:p>
    <w:p w14:paraId="6C7484AF">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3.2.4  协调运行</w:t>
      </w:r>
    </w:p>
    <w:p w14:paraId="6664CB2E">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 xml:space="preserve">根据大型体育赛事及大众体育活动可能发生突发公共事件的性质及特点，组委会要组织协调有关方面认真研究制定有针对性的应急处置工作方案。                                        </w:t>
      </w:r>
    </w:p>
    <w:p w14:paraId="383C41EC">
      <w:pPr>
        <w:spacing w:line="560" w:lineRule="exact"/>
        <w:ind w:firstLine="640" w:firstLineChars="200"/>
        <w:rPr>
          <w:rFonts w:ascii="Times New Roman" w:hAnsi="Times New Roman" w:eastAsia="仿宋_GB2312"/>
          <w:sz w:val="32"/>
          <w:szCs w:val="24"/>
        </w:rPr>
      </w:pPr>
      <w:r>
        <w:rPr>
          <w:rFonts w:ascii="Times New Roman" w:hAnsi="Times New Roman" w:eastAsia="黑体"/>
          <w:sz w:val="32"/>
          <w:szCs w:val="24"/>
        </w:rPr>
        <w:t>4  应急分级及响应</w:t>
      </w:r>
    </w:p>
    <w:p w14:paraId="510EC1E8">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4.1  应急分级</w:t>
      </w:r>
    </w:p>
    <w:p w14:paraId="14580621">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根据本预案适用范围，按可能突发公共事件的风险和危害程度分级（即：事件的性质、规模、态势、行为方式、激烈程度、危害和需采取的应对措施），由高到低划分为四个等级：</w:t>
      </w:r>
    </w:p>
    <w:p w14:paraId="4459CBDE">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I级：在大型体育赛事或大众体育活动举办过程中出现大规模人员踩踏、体育场馆倒塌、爆炸、火灾、造成死亡30人以上的特别重大安全事件。</w:t>
      </w:r>
    </w:p>
    <w:p w14:paraId="02404D08">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II级：在大型体育赛事或大众体育活动举办过程中出现大规模人员踩踏、体育场馆倒塌、爆炸、火灾、造成10人以上30人以下死亡的，或枪支、弹药遗失等重大安全事件。</w:t>
      </w:r>
    </w:p>
    <w:p w14:paraId="5EDE3D28">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III级：在大型体育赛事或大众体育活动举办过程中出现群体性骚乱事件、10人以下人员伤亡等较大事件。</w:t>
      </w:r>
    </w:p>
    <w:p w14:paraId="190A1221">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IV级：在大型体育赛事或大众体育活动举办过程中出现1小时50毫米的强降水、冰雹、九级以上雷雨大风等突发灾害性天气可能造成人员伤亡或出现人员受伤、被困等事件。</w:t>
      </w:r>
    </w:p>
    <w:p w14:paraId="5A6E0DA5">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4.2  应急响应</w:t>
      </w:r>
    </w:p>
    <w:p w14:paraId="0E1E3D91">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大型体育赛事或大众体育活动突发事件应急响应程序，按逐级负责、属地管理、分级响应的原则，及时启动相应级别的应急预案。各级响应要做到组织严密、快速反应、措施果断、稳妥处置。</w:t>
      </w:r>
    </w:p>
    <w:p w14:paraId="7758D089">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IV 级大型体育赛事及大众体育活动突发事件由组委会上报区管委会和市应急指挥部办公室，由区应急指挥部负责应急处置。</w:t>
      </w:r>
    </w:p>
    <w:p w14:paraId="6692B879">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III 级大型体育赛事及大众体育活动突发事件由组委会上报区管委会和市应急指挥部办公室，核实相关情况后上报市政府总值班室和市应急指挥部，由市应急指挥部负责应急处置。</w:t>
      </w:r>
    </w:p>
    <w:p w14:paraId="223A55B0">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I、II 级大型体育赛事及大众体育活动突发事件由组委会上报市应急指挥部办公室，核实相关情况后上报市政府总值班室和市应急指挥部，市应急指挥部上报省，根据国家、省部署予以处置。</w:t>
      </w:r>
    </w:p>
    <w:p w14:paraId="178F8849">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4.3  应急结束</w:t>
      </w:r>
    </w:p>
    <w:p w14:paraId="5715C9B4">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突发事件应急处置工作结束，或有关威胁和危害得到控制、消除后，应当宣布应急结束，具体分级如下：</w:t>
      </w:r>
    </w:p>
    <w:p w14:paraId="70991DF0">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IV 级大型体育赛事及大众体育活动突发事件应急响应由区应急指挥部宣布应急结束；</w:t>
      </w:r>
    </w:p>
    <w:p w14:paraId="4470E095">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I、II 级、III 级大型体育赛事及大众体育活动突发事件应急响应分别由国家、省、市应急指挥部宣布应急结束。</w:t>
      </w:r>
    </w:p>
    <w:p w14:paraId="37151462">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宣布应急结束的同时，采取或者继续实施必要措施，防止发生自然灾害、事故灾难、公共卫生事件的次生、衍生事件。现场指挥部停止运行后，通知相关方面解除应急措施，进入过渡时期，逐步恢复生产生活秩序。</w:t>
      </w:r>
    </w:p>
    <w:p w14:paraId="1C81A3C2">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应急结束后，应将情况及时通知参与事件处置的各相关部门，必要时可通过广播电台、电视台和新闻媒体同时向社会公众发布应急结束消息。</w:t>
      </w:r>
    </w:p>
    <w:p w14:paraId="6A1D2E04">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4.4  信息报送</w:t>
      </w:r>
    </w:p>
    <w:p w14:paraId="7B2C8F4E">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4.4.1  常规信息</w:t>
      </w:r>
    </w:p>
    <w:p w14:paraId="22148BFB">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大型体育赛事或大众体育活动突发事件发生后，区应急指挥部办公室应及时将突发事件信息上报给区应急指挥部，同时向市体育局通报。</w:t>
      </w:r>
    </w:p>
    <w:p w14:paraId="476B5363">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敏感性突发事件或者可能演化为 III 级以上突发事件的信息，不受突发事件分级标准限制，应立即向市人民政府报告。信息报送应贯穿于突发事件的预防与应急准备、监测与预警、应急处置与救援、事后恢复与重建等应对活动的全过程。</w:t>
      </w:r>
    </w:p>
    <w:p w14:paraId="3F1F90C3">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报告内容主要包括时间、地点、信息来源、事件性质、影响范围、事件发展趋势和已经采取的措施等。应急处置过程中，要及时续报有关情况。信息报告应及时、准确，不得迟报、谎报、瞒报和漏报。</w:t>
      </w:r>
    </w:p>
    <w:p w14:paraId="209F86D2">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大型体育赛事及大众体育活动的主办单位、承办单位或体育场馆在制定突发公共事件应急方案时，要明确常规信息、现场信息采集的范围、内容、方式、传输渠道和要求，以及信息分析共享的方式、方法、报送及反馈程序。</w:t>
      </w:r>
    </w:p>
    <w:p w14:paraId="6F96C8F0">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4.4.2  涉外信息</w:t>
      </w:r>
    </w:p>
    <w:p w14:paraId="5C5C0F59">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突发事件中伤亡、失踪、被困人员有港澳台人员或外国人或对境外造成一定负面影响的，承办单位应立即向区管委会和市体育局报告，经有关部门批准后，通过有关渠道在24小时内向有关国家和地区的有关机构（包括派队参赛的单位或协会）进行通报。如需要国际救援，须按有关国际规定进行。</w:t>
      </w:r>
    </w:p>
    <w:p w14:paraId="2ADF660F">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4.5  社会力量</w:t>
      </w:r>
    </w:p>
    <w:p w14:paraId="06C72ECB">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鼓励社会力量参与大型体育赛事或大众体育活动突发事件的应急工作。应根据应急工作的实际需要，由区管委会决定，按有关规定和组织程序进行动员，明确社会力量参与应急工作的范围、方式和任务。</w:t>
      </w:r>
    </w:p>
    <w:p w14:paraId="3110DFFD">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4.6  调查与评估</w:t>
      </w:r>
    </w:p>
    <w:p w14:paraId="25AF5409">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对突发事件的起因调查与检测、损失与影响和应急处置效果的评估工作是大型体育赛事及大众体育活动突发事件应急处置过程中的既定程序。区管委会或授权部门负责，组委会在对突发事件进行全面调查的基础上，依据技术鉴定，综合事件的起因、发生及终止情况，作出客观、真实、全面的调查评估报告。</w:t>
      </w:r>
    </w:p>
    <w:p w14:paraId="73436E7B">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4.7  新闻发布</w:t>
      </w:r>
    </w:p>
    <w:p w14:paraId="5311F215">
      <w:pPr>
        <w:spacing w:line="560" w:lineRule="exact"/>
        <w:ind w:firstLine="640" w:firstLineChars="200"/>
        <w:rPr>
          <w:rFonts w:ascii="Times New Roman" w:hAnsi="Times New Roman" w:eastAsia="仿宋_GB2312"/>
          <w:color w:val="000000"/>
          <w:sz w:val="32"/>
          <w:szCs w:val="24"/>
        </w:rPr>
      </w:pPr>
      <w:r>
        <w:rPr>
          <w:rFonts w:ascii="Times New Roman" w:hAnsi="Times New Roman" w:eastAsia="仿宋_GB2312"/>
          <w:color w:val="000000"/>
          <w:sz w:val="32"/>
          <w:szCs w:val="24"/>
        </w:rPr>
        <w:t>对具有全省重大影响的重大体育赛事及大众体育活动、本预案4.1项所列I级和II级突发公共事件的新闻发布工作，在市委、市政府的统一领导下，由市政府新闻办和市应急指挥部组织发布。其他重大体育赛事及大众体育活动、本预案4.1项所列III级和IV级突发公共事件的新闻发布工作，由区管委会与市应急指挥部办公室组织发布。</w:t>
      </w:r>
    </w:p>
    <w:p w14:paraId="3894F025">
      <w:pPr>
        <w:spacing w:line="560" w:lineRule="exact"/>
        <w:ind w:firstLine="640" w:firstLineChars="200"/>
        <w:rPr>
          <w:rFonts w:ascii="Times New Roman" w:hAnsi="Times New Roman" w:eastAsia="仿宋_GB2312"/>
          <w:color w:val="000000"/>
          <w:sz w:val="32"/>
          <w:szCs w:val="24"/>
        </w:rPr>
      </w:pPr>
      <w:r>
        <w:rPr>
          <w:rFonts w:ascii="Times New Roman" w:hAnsi="Times New Roman" w:eastAsia="黑体"/>
          <w:sz w:val="32"/>
          <w:szCs w:val="24"/>
        </w:rPr>
        <w:t>5  应急保障</w:t>
      </w:r>
    </w:p>
    <w:p w14:paraId="3C0664AB">
      <w:pPr>
        <w:spacing w:line="560" w:lineRule="exact"/>
        <w:ind w:firstLine="640" w:firstLineChars="200"/>
        <w:rPr>
          <w:rFonts w:ascii="Times New Roman" w:hAnsi="Times New Roman" w:eastAsia="仿宋_GB2312"/>
          <w:color w:val="000000"/>
          <w:sz w:val="32"/>
          <w:szCs w:val="24"/>
        </w:rPr>
      </w:pPr>
      <w:r>
        <w:rPr>
          <w:rFonts w:ascii="Times New Roman" w:hAnsi="Times New Roman" w:eastAsia="楷体_GB2312"/>
          <w:sz w:val="32"/>
          <w:szCs w:val="24"/>
        </w:rPr>
        <w:t>5.1  基础保障</w:t>
      </w:r>
    </w:p>
    <w:p w14:paraId="639B69E5">
      <w:pPr>
        <w:spacing w:line="560" w:lineRule="exact"/>
        <w:ind w:firstLine="640" w:firstLineChars="200"/>
        <w:rPr>
          <w:rFonts w:ascii="Times New Roman" w:hAnsi="Times New Roman" w:eastAsia="仿宋_GB2312"/>
          <w:color w:val="000000"/>
          <w:sz w:val="32"/>
          <w:szCs w:val="24"/>
        </w:rPr>
      </w:pPr>
      <w:r>
        <w:rPr>
          <w:rFonts w:ascii="Times New Roman" w:hAnsi="Times New Roman" w:eastAsia="仿宋_GB2312"/>
          <w:sz w:val="32"/>
          <w:szCs w:val="24"/>
        </w:rPr>
        <w:t>区应急指挥部办公室应与财政、通信、电力等保障部门协调，确定应急工作基础保障方案，为应急处置工作提供必备的资金和物质保障。应急工作所需资金按分级负担原则，由各级财政予以解决。主办、承办大型体育活动的部门（单位）须明确和落实应急工作专项保障资金，建立严格的应急保障金使用管理制度，保证应急处置工作的需要。</w:t>
      </w:r>
    </w:p>
    <w:p w14:paraId="31C51B2D">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5.2  救援保障</w:t>
      </w:r>
    </w:p>
    <w:p w14:paraId="0A2CB3D4">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区应急指挥部办公室应与财政、公安、交通、消防、卫生等部门协调制定救援工作保障方案，根据不同类型突发事件的特点确定所需的人员、设备、物品、交通运输工具，落实应急队伍、应急物资装备、应急处置保障措施。</w:t>
      </w:r>
    </w:p>
    <w:p w14:paraId="484C4455">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5.3  技术保障</w:t>
      </w:r>
    </w:p>
    <w:p w14:paraId="60F3FB12">
      <w:pPr>
        <w:spacing w:line="560" w:lineRule="exact"/>
        <w:ind w:firstLine="640" w:firstLineChars="200"/>
        <w:rPr>
          <w:rFonts w:ascii="Times New Roman" w:hAnsi="Times New Roman" w:eastAsia="仿宋_GB2312"/>
          <w:color w:val="FF0000"/>
          <w:sz w:val="32"/>
          <w:szCs w:val="24"/>
        </w:rPr>
      </w:pPr>
      <w:r>
        <w:rPr>
          <w:rFonts w:ascii="Times New Roman" w:hAnsi="Times New Roman" w:eastAsia="仿宋_GB2312"/>
          <w:sz w:val="32"/>
          <w:szCs w:val="24"/>
        </w:rPr>
        <w:t>区应急指挥部办公室可根据大型体育赛事或大众体育活动突发事件应急工作的需要，成立由卫生、消防、公安、体育等方面专家组成的专家组或咨询组，定期召开会议，研究大型体育赛事或大众体育活动突发事件的一般规律和防范措施。</w:t>
      </w:r>
    </w:p>
    <w:p w14:paraId="1D42C095">
      <w:pPr>
        <w:spacing w:line="560" w:lineRule="exact"/>
        <w:ind w:firstLine="640" w:firstLineChars="200"/>
        <w:rPr>
          <w:rFonts w:ascii="Times New Roman" w:hAnsi="Times New Roman" w:eastAsia="楷体_GB2312"/>
          <w:color w:val="FF0000"/>
          <w:sz w:val="32"/>
          <w:szCs w:val="24"/>
        </w:rPr>
      </w:pPr>
      <w:r>
        <w:rPr>
          <w:rFonts w:ascii="Times New Roman" w:hAnsi="Times New Roman" w:eastAsia="楷体_GB2312"/>
          <w:sz w:val="32"/>
          <w:szCs w:val="24"/>
        </w:rPr>
        <w:t>5.4  交流培训</w:t>
      </w:r>
    </w:p>
    <w:p w14:paraId="36E39FF5">
      <w:pPr>
        <w:spacing w:line="560" w:lineRule="exact"/>
        <w:ind w:firstLine="640" w:firstLineChars="200"/>
        <w:rPr>
          <w:rFonts w:ascii="Times New Roman" w:hAnsi="Times New Roman" w:eastAsia="仿宋_GB2312"/>
          <w:color w:val="FF0000"/>
          <w:sz w:val="32"/>
          <w:szCs w:val="24"/>
        </w:rPr>
      </w:pPr>
      <w:r>
        <w:rPr>
          <w:rFonts w:ascii="Times New Roman" w:hAnsi="Times New Roman" w:eastAsia="仿宋_GB2312"/>
          <w:sz w:val="32"/>
          <w:szCs w:val="24"/>
        </w:rPr>
        <w:t>5.4.1  公众信息交流</w:t>
      </w:r>
    </w:p>
    <w:p w14:paraId="35A34E66">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赛事活动举办单位应在最大限度上公布有关信息，包括接警电话、相关部门职责和电话、应急知识和法律法规、防险避灾和自救互救常识等。</w:t>
      </w:r>
    </w:p>
    <w:p w14:paraId="48927A63">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5.4.2  培训、演练</w:t>
      </w:r>
    </w:p>
    <w:p w14:paraId="3958544A">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组委会</w:t>
      </w:r>
      <w:r>
        <w:rPr>
          <w:rFonts w:ascii="Times New Roman" w:hAnsi="Times New Roman" w:eastAsia="仿宋_GB2312"/>
          <w:color w:val="000000"/>
          <w:sz w:val="32"/>
          <w:szCs w:val="24"/>
        </w:rPr>
        <w:t>应根据常见和可能突发的事件性质特点确定应急救援人员的培训计划，并组织实地演练，提高协调配合、快速反应、应急处置技能和整体作战</w:t>
      </w:r>
      <w:r>
        <w:rPr>
          <w:rFonts w:ascii="Times New Roman" w:hAnsi="Times New Roman" w:eastAsia="仿宋_GB2312"/>
          <w:sz w:val="32"/>
          <w:szCs w:val="24"/>
        </w:rPr>
        <w:t>水平。</w:t>
      </w:r>
    </w:p>
    <w:p w14:paraId="31BE444E">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社会事业局应适时举行大型体育赛事及大众体育活动突发事件应急预案的综合预案演习，并对演练进行评估，保证应急预案的有效实施，提高协调配合、快速反应、应急处置技能和整体作战水平。</w:t>
      </w:r>
    </w:p>
    <w:p w14:paraId="05C244B3">
      <w:pPr>
        <w:spacing w:line="560" w:lineRule="exact"/>
        <w:ind w:firstLine="640" w:firstLineChars="200"/>
        <w:rPr>
          <w:rFonts w:ascii="Times New Roman" w:hAnsi="Times New Roman" w:eastAsia="仿宋_GB2312"/>
          <w:sz w:val="32"/>
          <w:szCs w:val="24"/>
        </w:rPr>
      </w:pPr>
      <w:r>
        <w:rPr>
          <w:rFonts w:ascii="Times New Roman" w:hAnsi="Times New Roman" w:eastAsia="黑体"/>
          <w:sz w:val="32"/>
          <w:szCs w:val="24"/>
        </w:rPr>
        <w:t>6  后期处置</w:t>
      </w:r>
    </w:p>
    <w:p w14:paraId="12CD874E">
      <w:pPr>
        <w:spacing w:line="560" w:lineRule="exact"/>
        <w:ind w:firstLine="640" w:firstLineChars="200"/>
        <w:jc w:val="left"/>
        <w:rPr>
          <w:rFonts w:ascii="Times New Roman" w:hAnsi="Times New Roman" w:eastAsia="楷体_GB2312"/>
          <w:sz w:val="32"/>
          <w:szCs w:val="24"/>
        </w:rPr>
      </w:pPr>
      <w:r>
        <w:rPr>
          <w:rFonts w:ascii="Times New Roman" w:hAnsi="Times New Roman" w:eastAsia="楷体_GB2312"/>
          <w:sz w:val="32"/>
          <w:szCs w:val="24"/>
        </w:rPr>
        <w:t>6.1  善后处置</w:t>
      </w:r>
    </w:p>
    <w:p w14:paraId="51F8B2F5">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组委会应根据事件特点确定善后工作程序，成立善后工作小组，专职处理人员安置与补偿、污染物的清理、社会救助物资的管理与监督、应急人员和受灾人员保险理陪等善后工作事项。</w:t>
      </w:r>
    </w:p>
    <w:p w14:paraId="73E9E135">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6.2  总结报告</w:t>
      </w:r>
    </w:p>
    <w:p w14:paraId="0BCACF7F">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组委会应在应急工作结束后综合各方面的情况形成总结报告，全面查清事件起因，认真总结经验教训，提出整改建议。</w:t>
      </w:r>
    </w:p>
    <w:p w14:paraId="7257C5DB">
      <w:pPr>
        <w:spacing w:line="560" w:lineRule="exact"/>
        <w:ind w:firstLine="640" w:firstLineChars="200"/>
        <w:rPr>
          <w:rFonts w:ascii="Times New Roman" w:hAnsi="Times New Roman" w:eastAsia="仿宋_GB2312"/>
          <w:sz w:val="32"/>
          <w:szCs w:val="24"/>
        </w:rPr>
      </w:pPr>
      <w:r>
        <w:rPr>
          <w:rFonts w:ascii="Times New Roman" w:hAnsi="Times New Roman" w:eastAsia="黑体"/>
          <w:sz w:val="32"/>
          <w:szCs w:val="24"/>
        </w:rPr>
        <w:t>7  预案的管理与更新</w:t>
      </w:r>
    </w:p>
    <w:p w14:paraId="744399DE">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7.1  预案的制定</w:t>
      </w:r>
    </w:p>
    <w:p w14:paraId="4A729F6C">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本预案主要从总体方面进行了概述。各项大型体育赛事或大众体育活动的举办单位以及公共体育场馆要根据本预案确定的原则和规定，结合实际情况分专项制定本次赛事及活动的具体详细的应急预案。</w:t>
      </w:r>
    </w:p>
    <w:p w14:paraId="64907C05">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7.2  预案的更新</w:t>
      </w:r>
    </w:p>
    <w:p w14:paraId="3C8AC0D5">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区社会事业局至少每三年对预案进行一次评估，并根据实际情况的变化，及时修订本预案，以保证预案的前瞻性和科学性。举办大型体育</w:t>
      </w:r>
      <w:r>
        <w:rPr>
          <w:rFonts w:ascii="Times New Roman" w:hAnsi="Times New Roman" w:eastAsia="仿宋_GB2312"/>
          <w:color w:val="000000"/>
          <w:sz w:val="32"/>
          <w:szCs w:val="24"/>
        </w:rPr>
        <w:t>赛事及大众体</w:t>
      </w:r>
      <w:r>
        <w:rPr>
          <w:rFonts w:ascii="Times New Roman" w:hAnsi="Times New Roman" w:eastAsia="仿宋_GB2312"/>
          <w:sz w:val="32"/>
          <w:szCs w:val="24"/>
        </w:rPr>
        <w:t>育活动的有关部门要注意了解突发公共事件的新种类、新变化、新特点以及应急措施的新技术、新方法等，并结合自身活动规律，及时完善预案。</w:t>
      </w:r>
    </w:p>
    <w:p w14:paraId="58785FC5">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7.3  预案的解释</w:t>
      </w:r>
    </w:p>
    <w:p w14:paraId="07D4417D">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本预案由区社会事业局负责解释，自</w:t>
      </w:r>
      <w:r>
        <w:rPr>
          <w:rFonts w:ascii="Times New Roman" w:hAnsi="Times New Roman" w:eastAsia="仿宋_GB2312"/>
          <w:sz w:val="32"/>
          <w:szCs w:val="32"/>
          <w:shd w:val="clear" w:color="auto" w:fill="FFFFFF"/>
        </w:rPr>
        <w:t>开发区管委会办公室</w:t>
      </w:r>
      <w:r>
        <w:rPr>
          <w:rFonts w:ascii="Times New Roman" w:hAnsi="Times New Roman" w:eastAsia="仿宋_GB2312"/>
          <w:sz w:val="32"/>
          <w:szCs w:val="32"/>
        </w:rPr>
        <w:t>颁布之日起实施。</w:t>
      </w:r>
    </w:p>
    <w:p w14:paraId="29A7C692">
      <w:pPr>
        <w:shd w:val="clear" w:color="auto" w:fill="FFFFFF"/>
        <w:topLinePunct/>
        <w:adjustRightInd w:val="0"/>
        <w:snapToGrid w:val="0"/>
        <w:spacing w:line="560" w:lineRule="exact"/>
        <w:jc w:val="left"/>
        <w:rPr>
          <w:rFonts w:ascii="Times New Roman" w:hAnsi="Times New Roman" w:eastAsia="仿宋_GB2312"/>
          <w:kern w:val="0"/>
          <w:sz w:val="32"/>
          <w:szCs w:val="32"/>
          <w:shd w:val="clear" w:color="auto" w:fill="FFFFFF"/>
        </w:rPr>
      </w:pPr>
    </w:p>
    <w:p w14:paraId="56A50934">
      <w:pPr>
        <w:pStyle w:val="2"/>
        <w:ind w:firstLine="480"/>
        <w:rPr>
          <w:rFonts w:cs="Times New Roman"/>
        </w:rPr>
        <w:sectPr>
          <w:pgSz w:w="11906" w:h="16838"/>
          <w:pgMar w:top="2098" w:right="1474" w:bottom="1985" w:left="1588" w:header="851" w:footer="1588" w:gutter="0"/>
          <w:cols w:space="425" w:num="1"/>
          <w:docGrid w:linePitch="312" w:charSpace="0"/>
        </w:sectPr>
      </w:pPr>
    </w:p>
    <w:p w14:paraId="3C1906CC">
      <w:pPr>
        <w:pStyle w:val="2"/>
        <w:spacing w:line="580" w:lineRule="exact"/>
        <w:ind w:left="0" w:firstLine="0" w:firstLineChars="0"/>
        <w:jc w:val="center"/>
        <w:rPr>
          <w:rFonts w:eastAsia="方正小标宋简体" w:cs="Times New Roman"/>
          <w:sz w:val="44"/>
          <w:szCs w:val="44"/>
        </w:rPr>
      </w:pPr>
      <w:r>
        <w:rPr>
          <w:rFonts w:eastAsia="方正小标宋简体" w:cs="Times New Roman"/>
          <w:sz w:val="44"/>
          <w:szCs w:val="44"/>
        </w:rPr>
        <w:t>连云港经济技术开发区</w:t>
      </w:r>
    </w:p>
    <w:p w14:paraId="4B3E5A97">
      <w:pPr>
        <w:pStyle w:val="2"/>
        <w:spacing w:line="580" w:lineRule="exact"/>
        <w:ind w:left="0" w:firstLine="0" w:firstLineChars="0"/>
        <w:jc w:val="center"/>
        <w:rPr>
          <w:rFonts w:eastAsia="方正小标宋简体" w:cs="Times New Roman"/>
          <w:sz w:val="44"/>
          <w:szCs w:val="44"/>
        </w:rPr>
      </w:pPr>
      <w:r>
        <w:rPr>
          <w:rFonts w:eastAsia="方正小标宋简体" w:cs="Times New Roman"/>
          <w:sz w:val="44"/>
          <w:szCs w:val="44"/>
        </w:rPr>
        <w:t>突发环境污染事件应急预案</w:t>
      </w:r>
    </w:p>
    <w:p w14:paraId="475CA824">
      <w:pPr>
        <w:spacing w:before="60" w:after="60"/>
        <w:jc w:val="center"/>
        <w:rPr>
          <w:rFonts w:ascii="Times New Roman" w:hAnsi="Times New Roman" w:eastAsia="宋体"/>
          <w:sz w:val="36"/>
          <w:szCs w:val="36"/>
        </w:rPr>
      </w:pPr>
    </w:p>
    <w:p w14:paraId="7D432E90">
      <w:pPr>
        <w:spacing w:before="60" w:after="60"/>
        <w:jc w:val="center"/>
        <w:rPr>
          <w:rFonts w:ascii="Times New Roman" w:hAnsi="Times New Roman" w:eastAsia="方正小标宋_GBK"/>
          <w:sz w:val="36"/>
          <w:szCs w:val="36"/>
        </w:rPr>
      </w:pPr>
      <w:r>
        <w:rPr>
          <w:rFonts w:ascii="Times New Roman" w:hAnsi="Times New Roman" w:eastAsia="方正小标宋_GBK"/>
          <w:sz w:val="36"/>
          <w:szCs w:val="36"/>
        </w:rPr>
        <w:t>目  录</w:t>
      </w:r>
    </w:p>
    <w:p w14:paraId="2302496D">
      <w:pPr>
        <w:pStyle w:val="2"/>
        <w:ind w:firstLine="480"/>
        <w:rPr>
          <w:rFonts w:cs="Times New Roman"/>
        </w:rPr>
      </w:pPr>
    </w:p>
    <w:p w14:paraId="5E8A44C3">
      <w:pPr>
        <w:tabs>
          <w:tab w:val="right" w:pos="8306"/>
        </w:tabs>
        <w:spacing w:line="560" w:lineRule="exact"/>
        <w:jc w:val="left"/>
        <w:rPr>
          <w:rFonts w:ascii="Times New Roman" w:hAnsi="Times New Roman" w:eastAsia="黑体"/>
          <w:bCs/>
          <w:caps/>
          <w:sz w:val="32"/>
          <w:szCs w:val="32"/>
        </w:rPr>
      </w:pPr>
      <w:r>
        <w:rPr>
          <w:rFonts w:ascii="Times New Roman" w:hAnsi="Times New Roman" w:eastAsia="仿宋_GB2312"/>
          <w:bCs/>
          <w:caps/>
          <w:sz w:val="32"/>
          <w:szCs w:val="32"/>
        </w:rPr>
        <w:fldChar w:fldCharType="begin"/>
      </w:r>
      <w:r>
        <w:rPr>
          <w:rFonts w:ascii="Times New Roman" w:hAnsi="Times New Roman" w:eastAsia="仿宋_GB2312"/>
          <w:bCs/>
          <w:caps/>
          <w:sz w:val="32"/>
          <w:szCs w:val="32"/>
        </w:rPr>
        <w:instrText xml:space="preserve">TOC \o "1-2" \n  \u </w:instrText>
      </w:r>
      <w:r>
        <w:rPr>
          <w:rFonts w:ascii="Times New Roman" w:hAnsi="Times New Roman" w:eastAsia="仿宋_GB2312"/>
          <w:bCs/>
          <w:caps/>
          <w:sz w:val="32"/>
          <w:szCs w:val="32"/>
        </w:rPr>
        <w:fldChar w:fldCharType="separate"/>
      </w:r>
      <w:r>
        <w:rPr>
          <w:rFonts w:ascii="Times New Roman" w:hAnsi="Times New Roman" w:eastAsia="黑体"/>
          <w:bCs/>
          <w:caps/>
          <w:sz w:val="32"/>
          <w:szCs w:val="32"/>
        </w:rPr>
        <w:t>1 总则</w:t>
      </w:r>
    </w:p>
    <w:p w14:paraId="0CADA7D9">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1.1 编制目的</w:t>
      </w:r>
    </w:p>
    <w:p w14:paraId="145AE39D">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1.2 编制依据</w:t>
      </w:r>
    </w:p>
    <w:p w14:paraId="2A6DEF46">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1.3 适用范围</w:t>
      </w:r>
    </w:p>
    <w:p w14:paraId="5B61031C">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1.4 预案体系</w:t>
      </w:r>
    </w:p>
    <w:p w14:paraId="57E37729">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1.5 突发环境事件分级</w:t>
      </w:r>
    </w:p>
    <w:p w14:paraId="13F3EE96">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1.6 工作原则</w:t>
      </w:r>
    </w:p>
    <w:p w14:paraId="0A4E589E">
      <w:pPr>
        <w:tabs>
          <w:tab w:val="right" w:pos="8306"/>
        </w:tabs>
        <w:spacing w:line="560" w:lineRule="exact"/>
        <w:jc w:val="left"/>
        <w:rPr>
          <w:rFonts w:ascii="Times New Roman" w:hAnsi="Times New Roman" w:eastAsia="黑体"/>
          <w:bCs/>
          <w:caps/>
          <w:sz w:val="32"/>
          <w:szCs w:val="32"/>
        </w:rPr>
      </w:pPr>
      <w:r>
        <w:rPr>
          <w:rFonts w:ascii="Times New Roman" w:hAnsi="Times New Roman" w:eastAsia="黑体"/>
          <w:bCs/>
          <w:caps/>
          <w:sz w:val="32"/>
          <w:szCs w:val="32"/>
        </w:rPr>
        <w:t>2 应急救援组织体系与职责</w:t>
      </w:r>
    </w:p>
    <w:p w14:paraId="22371410">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2.1 应急救援组织体系</w:t>
      </w:r>
    </w:p>
    <w:p w14:paraId="724D8EFE">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2.2 应急救援指挥机构组成及职责</w:t>
      </w:r>
    </w:p>
    <w:p w14:paraId="00BBCDB2">
      <w:pPr>
        <w:tabs>
          <w:tab w:val="right" w:pos="8306"/>
        </w:tabs>
        <w:spacing w:line="560" w:lineRule="exact"/>
        <w:jc w:val="left"/>
        <w:rPr>
          <w:rFonts w:ascii="Times New Roman" w:hAnsi="Times New Roman" w:eastAsia="黑体"/>
          <w:bCs/>
          <w:caps/>
          <w:sz w:val="32"/>
          <w:szCs w:val="32"/>
        </w:rPr>
      </w:pPr>
      <w:r>
        <w:rPr>
          <w:rFonts w:ascii="Times New Roman" w:hAnsi="Times New Roman" w:eastAsia="黑体"/>
          <w:bCs/>
          <w:caps/>
          <w:sz w:val="32"/>
          <w:szCs w:val="32"/>
        </w:rPr>
        <w:t>3 预防与预警</w:t>
      </w:r>
    </w:p>
    <w:p w14:paraId="480C31DC">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3.1 环境风险源监控</w:t>
      </w:r>
    </w:p>
    <w:p w14:paraId="264B8F08">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3.2 预警行动</w:t>
      </w:r>
    </w:p>
    <w:p w14:paraId="6EEACFA3">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3.3 报警、通讯联络方式</w:t>
      </w:r>
    </w:p>
    <w:p w14:paraId="1A68AFC4">
      <w:pPr>
        <w:tabs>
          <w:tab w:val="right" w:pos="8306"/>
        </w:tabs>
        <w:spacing w:line="560" w:lineRule="exact"/>
        <w:jc w:val="left"/>
        <w:rPr>
          <w:rFonts w:ascii="Times New Roman" w:hAnsi="Times New Roman" w:eastAsia="黑体"/>
          <w:bCs/>
          <w:caps/>
          <w:sz w:val="32"/>
          <w:szCs w:val="32"/>
        </w:rPr>
      </w:pPr>
      <w:r>
        <w:rPr>
          <w:rFonts w:ascii="Times New Roman" w:hAnsi="Times New Roman" w:eastAsia="黑体"/>
          <w:bCs/>
          <w:caps/>
          <w:sz w:val="32"/>
          <w:szCs w:val="32"/>
        </w:rPr>
        <w:t>4 信息报告、上报、通报</w:t>
      </w:r>
    </w:p>
    <w:p w14:paraId="6D313AAB">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4.1 信息报告</w:t>
      </w:r>
    </w:p>
    <w:p w14:paraId="73C7ADAE">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4.2 信息上报</w:t>
      </w:r>
    </w:p>
    <w:p w14:paraId="0B09A31C">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4.3 信息通报</w:t>
      </w:r>
    </w:p>
    <w:p w14:paraId="4CDDA647">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4.4 报告内容</w:t>
      </w:r>
    </w:p>
    <w:p w14:paraId="1A21574C">
      <w:pPr>
        <w:tabs>
          <w:tab w:val="right" w:pos="8306"/>
        </w:tabs>
        <w:spacing w:line="560" w:lineRule="exact"/>
        <w:jc w:val="left"/>
        <w:rPr>
          <w:rFonts w:ascii="Times New Roman" w:hAnsi="Times New Roman" w:eastAsia="黑体"/>
          <w:bCs/>
          <w:caps/>
          <w:sz w:val="32"/>
          <w:szCs w:val="32"/>
        </w:rPr>
      </w:pPr>
      <w:r>
        <w:rPr>
          <w:rFonts w:ascii="Times New Roman" w:hAnsi="Times New Roman" w:eastAsia="黑体"/>
          <w:bCs/>
          <w:caps/>
          <w:sz w:val="32"/>
          <w:szCs w:val="32"/>
        </w:rPr>
        <w:t>5 应急响应和救援措施</w:t>
      </w:r>
    </w:p>
    <w:p w14:paraId="5A3BCAE8">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5.1 分级响应机制</w:t>
      </w:r>
    </w:p>
    <w:p w14:paraId="35E16270">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5.2 应急响应程序</w:t>
      </w:r>
    </w:p>
    <w:p w14:paraId="48079AF3">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5.3 应急救援</w:t>
      </w:r>
    </w:p>
    <w:p w14:paraId="61E6545B">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5.4 应急监测</w:t>
      </w:r>
    </w:p>
    <w:p w14:paraId="7BC1542B">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5.5 应急终止</w:t>
      </w:r>
    </w:p>
    <w:p w14:paraId="7F620A09">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5.6 与连云港市突发环境事件应急预案衔接</w:t>
      </w:r>
    </w:p>
    <w:p w14:paraId="5D43011D">
      <w:pPr>
        <w:tabs>
          <w:tab w:val="right" w:pos="8306"/>
        </w:tabs>
        <w:spacing w:line="560" w:lineRule="exact"/>
        <w:jc w:val="left"/>
        <w:rPr>
          <w:rFonts w:ascii="Times New Roman" w:hAnsi="Times New Roman" w:eastAsia="黑体"/>
          <w:bCs/>
          <w:caps/>
          <w:sz w:val="32"/>
          <w:szCs w:val="32"/>
        </w:rPr>
      </w:pPr>
      <w:r>
        <w:rPr>
          <w:rFonts w:ascii="Times New Roman" w:hAnsi="Times New Roman" w:eastAsia="黑体"/>
          <w:bCs/>
          <w:caps/>
          <w:sz w:val="32"/>
          <w:szCs w:val="32"/>
        </w:rPr>
        <w:t>6 后期处置</w:t>
      </w:r>
    </w:p>
    <w:p w14:paraId="5097FB7F">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6.1 善后处置</w:t>
      </w:r>
    </w:p>
    <w:p w14:paraId="24D54A5C">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6.2 保险</w:t>
      </w:r>
    </w:p>
    <w:p w14:paraId="44716946">
      <w:pPr>
        <w:tabs>
          <w:tab w:val="right" w:pos="8306"/>
        </w:tabs>
        <w:spacing w:line="560" w:lineRule="exact"/>
        <w:jc w:val="left"/>
        <w:rPr>
          <w:rFonts w:ascii="Times New Roman" w:hAnsi="Times New Roman" w:eastAsia="黑体"/>
          <w:bCs/>
          <w:caps/>
          <w:sz w:val="32"/>
          <w:szCs w:val="32"/>
        </w:rPr>
      </w:pPr>
      <w:r>
        <w:rPr>
          <w:rFonts w:ascii="Times New Roman" w:hAnsi="Times New Roman" w:eastAsia="黑体"/>
          <w:bCs/>
          <w:caps/>
          <w:sz w:val="32"/>
          <w:szCs w:val="32"/>
        </w:rPr>
        <w:t>7 应急培训及演练</w:t>
      </w:r>
    </w:p>
    <w:p w14:paraId="13DA10BA">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7.1 培训</w:t>
      </w:r>
    </w:p>
    <w:p w14:paraId="34C6877B">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7.2 演习</w:t>
      </w:r>
    </w:p>
    <w:p w14:paraId="7EFBC24C">
      <w:pPr>
        <w:tabs>
          <w:tab w:val="right" w:pos="8306"/>
        </w:tabs>
        <w:spacing w:line="560" w:lineRule="exact"/>
        <w:jc w:val="left"/>
        <w:rPr>
          <w:rFonts w:ascii="Times New Roman" w:hAnsi="Times New Roman" w:eastAsia="黑体"/>
          <w:bCs/>
          <w:caps/>
          <w:sz w:val="32"/>
          <w:szCs w:val="32"/>
        </w:rPr>
      </w:pPr>
      <w:r>
        <w:rPr>
          <w:rFonts w:ascii="Times New Roman" w:hAnsi="Times New Roman" w:eastAsia="黑体"/>
          <w:bCs/>
          <w:caps/>
          <w:sz w:val="32"/>
          <w:szCs w:val="32"/>
        </w:rPr>
        <w:t>8 奖惩</w:t>
      </w:r>
    </w:p>
    <w:p w14:paraId="5CD05052">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8.1 奖励</w:t>
      </w:r>
    </w:p>
    <w:p w14:paraId="0DCC2E40">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8.2 惩罚</w:t>
      </w:r>
    </w:p>
    <w:p w14:paraId="0FDED65D">
      <w:pPr>
        <w:tabs>
          <w:tab w:val="right" w:pos="8306"/>
        </w:tabs>
        <w:spacing w:line="560" w:lineRule="exact"/>
        <w:jc w:val="left"/>
        <w:rPr>
          <w:rFonts w:ascii="Times New Roman" w:hAnsi="Times New Roman" w:eastAsia="黑体"/>
          <w:bCs/>
          <w:caps/>
          <w:sz w:val="32"/>
          <w:szCs w:val="32"/>
        </w:rPr>
      </w:pPr>
      <w:r>
        <w:rPr>
          <w:rFonts w:ascii="Times New Roman" w:hAnsi="Times New Roman" w:eastAsia="黑体"/>
          <w:bCs/>
          <w:caps/>
          <w:sz w:val="32"/>
          <w:szCs w:val="32"/>
        </w:rPr>
        <w:t>9 应急保障</w:t>
      </w:r>
    </w:p>
    <w:p w14:paraId="53483FA7">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9.1 经费及其他保障</w:t>
      </w:r>
    </w:p>
    <w:p w14:paraId="0FC8F7B0">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9.2 通信与信息保障</w:t>
      </w:r>
    </w:p>
    <w:p w14:paraId="3FF52DFF">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9.3 应急队伍保障</w:t>
      </w:r>
    </w:p>
    <w:p w14:paraId="7E7C2CE3">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9.4 应急物资装备保障</w:t>
      </w:r>
    </w:p>
    <w:p w14:paraId="4FE36727">
      <w:pPr>
        <w:tabs>
          <w:tab w:val="right" w:pos="8306"/>
        </w:tabs>
        <w:spacing w:line="560" w:lineRule="exact"/>
        <w:jc w:val="left"/>
        <w:rPr>
          <w:rFonts w:ascii="Times New Roman" w:hAnsi="Times New Roman" w:eastAsia="黑体"/>
          <w:bCs/>
          <w:caps/>
          <w:sz w:val="32"/>
          <w:szCs w:val="32"/>
        </w:rPr>
      </w:pPr>
      <w:r>
        <w:rPr>
          <w:rFonts w:ascii="Times New Roman" w:hAnsi="Times New Roman" w:eastAsia="黑体"/>
          <w:bCs/>
          <w:caps/>
          <w:sz w:val="32"/>
          <w:szCs w:val="32"/>
        </w:rPr>
        <w:t>10 预案的评审、备案、发布和更新</w:t>
      </w:r>
    </w:p>
    <w:p w14:paraId="43B81206">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10.1 预案管理</w:t>
      </w:r>
    </w:p>
    <w:p w14:paraId="50F19F04">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10.2 预案的发布与发放</w:t>
      </w:r>
    </w:p>
    <w:p w14:paraId="3A332117">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10.3 预案的管理与更新</w:t>
      </w:r>
    </w:p>
    <w:p w14:paraId="26261F31">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10.4 预案的解释部门</w:t>
      </w:r>
    </w:p>
    <w:p w14:paraId="7A8DBD41">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10.5 预案的实施和生效时间</w:t>
      </w:r>
    </w:p>
    <w:p w14:paraId="1EEB7606">
      <w:pPr>
        <w:snapToGrid w:val="0"/>
        <w:spacing w:line="320" w:lineRule="exact"/>
        <w:rPr>
          <w:rFonts w:ascii="Times New Roman" w:hAnsi="Times New Roman" w:eastAsia="仿宋_GB2312"/>
          <w:sz w:val="32"/>
          <w:szCs w:val="32"/>
        </w:rPr>
      </w:pPr>
      <w:r>
        <w:rPr>
          <w:rFonts w:ascii="Times New Roman" w:hAnsi="Times New Roman" w:eastAsia="仿宋_GB2312"/>
          <w:sz w:val="32"/>
          <w:szCs w:val="32"/>
        </w:rPr>
        <w:fldChar w:fldCharType="end"/>
      </w:r>
    </w:p>
    <w:p w14:paraId="51BE3EF9">
      <w:pPr>
        <w:spacing w:before="60" w:after="60"/>
        <w:jc w:val="center"/>
        <w:rPr>
          <w:rFonts w:ascii="Times New Roman" w:hAnsi="Times New Roman" w:eastAsia="仿宋_GB2312"/>
          <w:sz w:val="32"/>
          <w:szCs w:val="32"/>
        </w:rPr>
      </w:pPr>
    </w:p>
    <w:p w14:paraId="6CC37386">
      <w:pPr>
        <w:spacing w:before="60" w:after="60"/>
        <w:jc w:val="center"/>
        <w:rPr>
          <w:rFonts w:ascii="Times New Roman" w:hAnsi="Times New Roman" w:eastAsia="仿宋_GB2312"/>
          <w:sz w:val="32"/>
          <w:szCs w:val="32"/>
        </w:rPr>
      </w:pPr>
    </w:p>
    <w:p w14:paraId="59E5085B">
      <w:pPr>
        <w:spacing w:before="60"/>
        <w:jc w:val="center"/>
        <w:rPr>
          <w:rFonts w:ascii="Times New Roman" w:hAnsi="Times New Roman" w:eastAsia="仿宋_GB2312"/>
          <w:sz w:val="32"/>
          <w:szCs w:val="32"/>
        </w:rPr>
        <w:sectPr>
          <w:headerReference r:id="rId19" w:type="default"/>
          <w:footerReference r:id="rId20" w:type="default"/>
          <w:pgSz w:w="11906" w:h="16838"/>
          <w:pgMar w:top="2098" w:right="1474" w:bottom="1985" w:left="1588" w:header="851" w:footer="1588" w:gutter="0"/>
          <w:cols w:space="720" w:num="1"/>
          <w:docGrid w:linePitch="312" w:charSpace="0"/>
        </w:sectPr>
      </w:pPr>
    </w:p>
    <w:p w14:paraId="1046A8DF">
      <w:pPr>
        <w:numPr>
          <w:ilvl w:val="0"/>
          <w:numId w:val="1"/>
        </w:numPr>
        <w:snapToGrid w:val="0"/>
        <w:spacing w:line="520" w:lineRule="exact"/>
        <w:ind w:left="0" w:firstLine="640" w:firstLineChars="200"/>
        <w:outlineLvl w:val="0"/>
        <w:rPr>
          <w:rFonts w:ascii="Times New Roman" w:hAnsi="Times New Roman" w:eastAsia="黑体"/>
          <w:sz w:val="32"/>
          <w:szCs w:val="32"/>
        </w:rPr>
      </w:pPr>
      <w:bookmarkStart w:id="233" w:name="_Toc58392439"/>
      <w:r>
        <w:rPr>
          <w:rFonts w:ascii="Times New Roman" w:hAnsi="Times New Roman" w:eastAsia="黑体"/>
          <w:sz w:val="32"/>
          <w:szCs w:val="32"/>
        </w:rPr>
        <w:t xml:space="preserve">  总则</w:t>
      </w:r>
      <w:bookmarkEnd w:id="233"/>
    </w:p>
    <w:p w14:paraId="27A0D3C4">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234" w:name="_Toc58392440"/>
      <w:bookmarkStart w:id="235" w:name="_Toc401128807"/>
      <w:r>
        <w:rPr>
          <w:rFonts w:ascii="Times New Roman" w:hAnsi="Times New Roman" w:eastAsia="楷体_GB2312"/>
          <w:sz w:val="32"/>
          <w:szCs w:val="32"/>
        </w:rPr>
        <w:t xml:space="preserve">  编制目的</w:t>
      </w:r>
      <w:bookmarkEnd w:id="234"/>
      <w:bookmarkEnd w:id="235"/>
    </w:p>
    <w:p w14:paraId="4EEE1187">
      <w:pPr>
        <w:pStyle w:val="58"/>
        <w:snapToGrid w:val="0"/>
        <w:spacing w:line="520" w:lineRule="exact"/>
        <w:ind w:firstLine="640"/>
        <w:rPr>
          <w:rFonts w:ascii="Times New Roman" w:hAnsi="Times New Roman"/>
          <w:sz w:val="32"/>
          <w:szCs w:val="32"/>
        </w:rPr>
      </w:pPr>
      <w:r>
        <w:rPr>
          <w:rFonts w:ascii="Times New Roman" w:hAnsi="Times New Roman"/>
          <w:sz w:val="32"/>
          <w:szCs w:val="32"/>
        </w:rPr>
        <w:t>2018年6月，为建立健全开发区突发环境污染事故的应急机制，提高开发区应对环境污染事故的能力，连云港经济技术开发区管委会编制了《连云港经济技术开发区突发环境事件应急预案》（第一版），并于2018年8月得到连云港市环境保护局（现为连云港市生态环境局）备案（备案编号：320700-2018-Y002-M）。应急预案备案至今，随着新企业的入驻及现有企业的不断升级、改造，开发区在迅速发展的同时，环境风险特点、风险源分布及环境风险受体均发生变化，同时开发区整体环境风险也进一步提升。</w:t>
      </w:r>
    </w:p>
    <w:p w14:paraId="0625E792">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因此，为进一步健全连云港经济技术开发区（以下简称“开发区”）突发环境污染事故的应急机制，继续提高开发区应对环境污染事故的能力，防止突发性环境污染事故的发生，并能在事故发生后，迅速有效地开展应急救援、环境监测、人员疏散、清洁净化、污染跟踪和信息通报等活动，将事故损失和社会危害减少到最低程度，维护社会稳定，保障公众生命健康和财产安全，保护当地环境和周边水资源安全，促进社会全面、协调、可持续发展，在现有突发环境事件应急预案的基础上，特制定本预案。</w:t>
      </w:r>
    </w:p>
    <w:p w14:paraId="0038DEC8">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236" w:name="_Toc58392441"/>
      <w:bookmarkStart w:id="237" w:name="_Toc393289215"/>
      <w:bookmarkStart w:id="238" w:name="_Toc393289567"/>
      <w:r>
        <w:rPr>
          <w:rFonts w:ascii="Times New Roman" w:hAnsi="Times New Roman" w:eastAsia="楷体_GB2312"/>
          <w:sz w:val="32"/>
          <w:szCs w:val="32"/>
        </w:rPr>
        <w:t>编制依据</w:t>
      </w:r>
      <w:bookmarkEnd w:id="236"/>
      <w:bookmarkEnd w:id="237"/>
      <w:bookmarkEnd w:id="238"/>
    </w:p>
    <w:p w14:paraId="0CDE5C63">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239" w:name="_Toc376181465"/>
      <w:bookmarkStart w:id="240" w:name="_Toc257215832"/>
      <w:bookmarkStart w:id="241" w:name="_Toc393289568"/>
      <w:bookmarkStart w:id="242" w:name="_Toc354926612"/>
      <w:bookmarkStart w:id="243" w:name="_Toc346010844"/>
      <w:bookmarkStart w:id="244" w:name="_Toc376181310"/>
      <w:bookmarkStart w:id="245" w:name="_Toc376181679"/>
      <w:bookmarkStart w:id="246" w:name="_Toc374954764"/>
      <w:bookmarkStart w:id="247" w:name="_Toc235193239"/>
      <w:bookmarkStart w:id="248" w:name="_Toc308083777"/>
      <w:bookmarkStart w:id="249" w:name="_Toc376181847"/>
      <w:bookmarkStart w:id="250" w:name="_Hlk20347314"/>
      <w:r>
        <w:rPr>
          <w:rFonts w:ascii="Times New Roman" w:hAnsi="Times New Roman" w:eastAsia="仿宋_GB2312"/>
          <w:kern w:val="0"/>
          <w:sz w:val="32"/>
          <w:szCs w:val="32"/>
        </w:rPr>
        <w:t>国家法律、法规、规定依据</w:t>
      </w:r>
      <w:bookmarkEnd w:id="239"/>
      <w:bookmarkEnd w:id="240"/>
      <w:bookmarkEnd w:id="241"/>
      <w:bookmarkEnd w:id="242"/>
      <w:bookmarkEnd w:id="243"/>
      <w:bookmarkEnd w:id="244"/>
      <w:bookmarkEnd w:id="245"/>
      <w:bookmarkEnd w:id="246"/>
      <w:bookmarkEnd w:id="247"/>
      <w:bookmarkEnd w:id="248"/>
      <w:bookmarkEnd w:id="249"/>
    </w:p>
    <w:p w14:paraId="675CECAE">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sz w:val="32"/>
          <w:szCs w:val="32"/>
        </w:rPr>
        <w:t>（1）《中华人民共和国环境保护法》</w:t>
      </w:r>
      <w:bookmarkStart w:id="251" w:name="_Hlk20343512"/>
      <w:r>
        <w:rPr>
          <w:rFonts w:ascii="Times New Roman" w:hAnsi="Times New Roman" w:eastAsia="仿宋_GB2312"/>
          <w:sz w:val="32"/>
          <w:szCs w:val="32"/>
        </w:rPr>
        <w:t>，国家主席令第九号，2014年4月24日</w:t>
      </w:r>
      <w:bookmarkEnd w:id="251"/>
      <w:r>
        <w:rPr>
          <w:rFonts w:ascii="Times New Roman" w:hAnsi="Times New Roman" w:eastAsia="仿宋_GB2312"/>
          <w:sz w:val="32"/>
          <w:szCs w:val="32"/>
        </w:rPr>
        <w:t>；</w:t>
      </w:r>
    </w:p>
    <w:p w14:paraId="11AEAE6C">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（2）《中华人民共和国放射性污染防治法》，国家主席令第六号，2003年6月28日；</w:t>
      </w:r>
    </w:p>
    <w:p w14:paraId="64E80F82">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（3）《中华人民共和国突发事件应对法》</w:t>
      </w:r>
      <w:bookmarkStart w:id="252" w:name="_Hlk20343505"/>
      <w:r>
        <w:rPr>
          <w:rFonts w:ascii="Times New Roman" w:hAnsi="Times New Roman" w:eastAsia="仿宋_GB2312"/>
          <w:sz w:val="32"/>
          <w:szCs w:val="32"/>
        </w:rPr>
        <w:t>，国家主席令第六十九号，2007年8月30日</w:t>
      </w:r>
      <w:bookmarkEnd w:id="252"/>
      <w:r>
        <w:rPr>
          <w:rFonts w:ascii="Times New Roman" w:hAnsi="Times New Roman" w:eastAsia="仿宋_GB2312"/>
          <w:sz w:val="32"/>
          <w:szCs w:val="32"/>
        </w:rPr>
        <w:t>；</w:t>
      </w:r>
    </w:p>
    <w:p w14:paraId="0A99DE4A">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（4）《危险化学品安全管理条例》</w:t>
      </w:r>
      <w:bookmarkStart w:id="253" w:name="_Hlk20343521"/>
      <w:r>
        <w:rPr>
          <w:rFonts w:ascii="Times New Roman" w:hAnsi="Times New Roman" w:eastAsia="仿宋_GB2312"/>
          <w:sz w:val="32"/>
          <w:szCs w:val="32"/>
        </w:rPr>
        <w:t>，中华人民共和国国务院令第591号，2011年3月2日</w:t>
      </w:r>
      <w:bookmarkEnd w:id="253"/>
      <w:r>
        <w:rPr>
          <w:rFonts w:ascii="Times New Roman" w:hAnsi="Times New Roman" w:eastAsia="仿宋_GB2312"/>
          <w:sz w:val="32"/>
          <w:szCs w:val="32"/>
        </w:rPr>
        <w:t>；</w:t>
      </w:r>
    </w:p>
    <w:p w14:paraId="654AAD05">
      <w:pPr>
        <w:pStyle w:val="39"/>
        <w:numPr>
          <w:ilvl w:val="0"/>
          <w:numId w:val="3"/>
        </w:numPr>
        <w:snapToGrid w:val="0"/>
        <w:spacing w:line="520" w:lineRule="exact"/>
        <w:ind w:firstLineChars="0"/>
        <w:rPr>
          <w:rFonts w:ascii="Times New Roman" w:hAnsi="Times New Roman" w:eastAsia="仿宋_GB2312"/>
          <w:sz w:val="32"/>
          <w:szCs w:val="32"/>
        </w:rPr>
      </w:pPr>
      <w:r>
        <w:rPr>
          <w:rFonts w:ascii="Times New Roman" w:hAnsi="Times New Roman" w:eastAsia="仿宋_GB2312"/>
          <w:sz w:val="32"/>
          <w:szCs w:val="32"/>
        </w:rPr>
        <w:t>《突发环境事件信息报告办法》</w:t>
      </w:r>
      <w:bookmarkStart w:id="254" w:name="_Hlk20343483"/>
      <w:r>
        <w:rPr>
          <w:rFonts w:ascii="Times New Roman" w:hAnsi="Times New Roman" w:eastAsia="仿宋_GB2312"/>
          <w:sz w:val="32"/>
          <w:szCs w:val="32"/>
        </w:rPr>
        <w:t>，环境保护部令第17号，2011年4月18日</w:t>
      </w:r>
      <w:bookmarkEnd w:id="254"/>
      <w:r>
        <w:rPr>
          <w:rFonts w:ascii="Times New Roman" w:hAnsi="Times New Roman" w:eastAsia="仿宋_GB2312"/>
          <w:sz w:val="32"/>
          <w:szCs w:val="32"/>
        </w:rPr>
        <w:t>；</w:t>
      </w:r>
    </w:p>
    <w:p w14:paraId="13158F82">
      <w:pPr>
        <w:pStyle w:val="39"/>
        <w:numPr>
          <w:ilvl w:val="0"/>
          <w:numId w:val="3"/>
        </w:numPr>
        <w:snapToGrid w:val="0"/>
        <w:spacing w:line="520" w:lineRule="exact"/>
        <w:ind w:firstLineChars="0"/>
        <w:rPr>
          <w:rFonts w:ascii="Times New Roman" w:hAnsi="Times New Roman" w:eastAsia="仿宋_GB2312"/>
          <w:sz w:val="32"/>
          <w:szCs w:val="32"/>
        </w:rPr>
      </w:pPr>
      <w:r>
        <w:rPr>
          <w:rFonts w:ascii="Times New Roman" w:hAnsi="Times New Roman" w:eastAsia="仿宋_GB2312"/>
          <w:sz w:val="32"/>
          <w:szCs w:val="32"/>
        </w:rPr>
        <w:t>《中华人民共和国安全生产法》</w:t>
      </w:r>
      <w:bookmarkStart w:id="255" w:name="_Hlk20343497"/>
      <w:r>
        <w:rPr>
          <w:rFonts w:ascii="Times New Roman" w:hAnsi="Times New Roman" w:eastAsia="仿宋_GB2312"/>
          <w:sz w:val="32"/>
          <w:szCs w:val="32"/>
        </w:rPr>
        <w:t>，国家主席令第十三号，2014年8月31日</w:t>
      </w:r>
      <w:bookmarkEnd w:id="255"/>
      <w:r>
        <w:rPr>
          <w:rFonts w:ascii="Times New Roman" w:hAnsi="Times New Roman" w:eastAsia="仿宋_GB2312"/>
          <w:sz w:val="32"/>
          <w:szCs w:val="32"/>
        </w:rPr>
        <w:t>；</w:t>
      </w:r>
      <w:bookmarkStart w:id="256" w:name="_Hlk20343537"/>
    </w:p>
    <w:p w14:paraId="6FCE9BF5">
      <w:pPr>
        <w:pStyle w:val="39"/>
        <w:numPr>
          <w:ilvl w:val="0"/>
          <w:numId w:val="3"/>
        </w:numPr>
        <w:snapToGrid w:val="0"/>
        <w:spacing w:line="520" w:lineRule="exact"/>
        <w:ind w:firstLineChars="0"/>
        <w:rPr>
          <w:rFonts w:ascii="Times New Roman" w:hAnsi="Times New Roman" w:eastAsia="仿宋_GB2312"/>
          <w:sz w:val="32"/>
          <w:szCs w:val="32"/>
        </w:rPr>
      </w:pPr>
      <w:r>
        <w:rPr>
          <w:rFonts w:ascii="Times New Roman" w:hAnsi="Times New Roman" w:eastAsia="仿宋_GB2312"/>
          <w:sz w:val="32"/>
          <w:szCs w:val="32"/>
        </w:rPr>
        <w:t>《突发环境事件调查处理办法》，环境保护部令第32号，2014年12月19日；</w:t>
      </w:r>
      <w:bookmarkEnd w:id="256"/>
    </w:p>
    <w:p w14:paraId="6599F4FA">
      <w:pPr>
        <w:pStyle w:val="39"/>
        <w:numPr>
          <w:ilvl w:val="0"/>
          <w:numId w:val="3"/>
        </w:numPr>
        <w:snapToGrid w:val="0"/>
        <w:spacing w:line="520" w:lineRule="exact"/>
        <w:ind w:firstLineChars="0"/>
        <w:rPr>
          <w:rFonts w:ascii="Times New Roman" w:hAnsi="Times New Roman" w:eastAsia="仿宋_GB2312"/>
          <w:sz w:val="32"/>
          <w:szCs w:val="32"/>
        </w:rPr>
      </w:pPr>
      <w:r>
        <w:rPr>
          <w:rFonts w:ascii="Times New Roman" w:hAnsi="Times New Roman" w:eastAsia="仿宋_GB2312"/>
          <w:sz w:val="32"/>
          <w:szCs w:val="32"/>
        </w:rPr>
        <w:t>《危险化学品建设项目安全监督管理办法》</w:t>
      </w:r>
      <w:bookmarkStart w:id="257" w:name="_Hlk20343426"/>
      <w:r>
        <w:rPr>
          <w:rFonts w:ascii="Times New Roman" w:hAnsi="Times New Roman" w:eastAsia="仿宋_GB2312"/>
          <w:sz w:val="32"/>
          <w:szCs w:val="32"/>
        </w:rPr>
        <w:t>，国家安全监管总局令第79号，2015年5月27日</w:t>
      </w:r>
      <w:bookmarkEnd w:id="257"/>
      <w:r>
        <w:rPr>
          <w:rFonts w:ascii="Times New Roman" w:hAnsi="Times New Roman" w:eastAsia="仿宋_GB2312"/>
          <w:sz w:val="32"/>
          <w:szCs w:val="32"/>
        </w:rPr>
        <w:t>；</w:t>
      </w:r>
    </w:p>
    <w:p w14:paraId="277654AF">
      <w:pPr>
        <w:pStyle w:val="39"/>
        <w:numPr>
          <w:ilvl w:val="0"/>
          <w:numId w:val="3"/>
        </w:numPr>
        <w:snapToGrid w:val="0"/>
        <w:spacing w:line="520" w:lineRule="exact"/>
        <w:ind w:firstLineChars="0"/>
        <w:rPr>
          <w:rFonts w:ascii="Times New Roman" w:hAnsi="Times New Roman" w:eastAsia="仿宋_GB2312"/>
          <w:sz w:val="32"/>
          <w:szCs w:val="32"/>
        </w:rPr>
      </w:pPr>
      <w:r>
        <w:rPr>
          <w:rFonts w:ascii="Times New Roman" w:hAnsi="Times New Roman" w:eastAsia="仿宋_GB2312"/>
          <w:sz w:val="32"/>
          <w:szCs w:val="32"/>
        </w:rPr>
        <w:t>《中华人民共和国大气污染防治法》，2018年10月26日第十三届全国人民代表大会常务委员会第六次会议《关于修改〈中华人民共和国野生动物保护法〉等十五部法律的决定》第二次修正；</w:t>
      </w:r>
    </w:p>
    <w:p w14:paraId="6D142797">
      <w:pPr>
        <w:pStyle w:val="39"/>
        <w:numPr>
          <w:ilvl w:val="0"/>
          <w:numId w:val="3"/>
        </w:numPr>
        <w:snapToGrid w:val="0"/>
        <w:spacing w:line="520" w:lineRule="exact"/>
        <w:ind w:firstLineChars="0"/>
        <w:rPr>
          <w:rFonts w:ascii="Times New Roman" w:hAnsi="Times New Roman" w:eastAsia="仿宋_GB2312"/>
          <w:sz w:val="32"/>
          <w:szCs w:val="32"/>
        </w:rPr>
      </w:pPr>
      <w:r>
        <w:rPr>
          <w:rFonts w:ascii="Times New Roman" w:hAnsi="Times New Roman" w:eastAsia="仿宋_GB2312"/>
          <w:sz w:val="32"/>
          <w:szCs w:val="32"/>
        </w:rPr>
        <w:t>《中华人民共和国固体废物污染环境防治法》，2020年4月29日第十三届全国人民代表大会常务委员会第十七次会议第二次修订；</w:t>
      </w:r>
    </w:p>
    <w:p w14:paraId="5908E8ED">
      <w:pPr>
        <w:pStyle w:val="39"/>
        <w:numPr>
          <w:ilvl w:val="0"/>
          <w:numId w:val="3"/>
        </w:numPr>
        <w:snapToGrid w:val="0"/>
        <w:spacing w:line="520" w:lineRule="exact"/>
        <w:ind w:firstLineChars="0"/>
        <w:rPr>
          <w:rFonts w:ascii="Times New Roman" w:hAnsi="Times New Roman" w:eastAsia="仿宋_GB2312"/>
          <w:sz w:val="32"/>
          <w:szCs w:val="32"/>
        </w:rPr>
      </w:pPr>
      <w:r>
        <w:rPr>
          <w:rFonts w:ascii="Times New Roman" w:hAnsi="Times New Roman" w:eastAsia="仿宋_GB2312"/>
          <w:sz w:val="32"/>
          <w:szCs w:val="32"/>
        </w:rPr>
        <w:t>《中华人民共和国水污染防治法》（2017年修订版），国家主席令第七十号，2017年6月27日；</w:t>
      </w:r>
    </w:p>
    <w:p w14:paraId="47945400">
      <w:pPr>
        <w:pStyle w:val="39"/>
        <w:numPr>
          <w:ilvl w:val="0"/>
          <w:numId w:val="3"/>
        </w:numPr>
        <w:snapToGrid w:val="0"/>
        <w:spacing w:line="520" w:lineRule="exact"/>
        <w:ind w:firstLineChars="0"/>
        <w:rPr>
          <w:rFonts w:ascii="Times New Roman" w:hAnsi="Times New Roman" w:eastAsia="仿宋_GB2312"/>
          <w:sz w:val="32"/>
          <w:szCs w:val="32"/>
        </w:rPr>
      </w:pPr>
      <w:r>
        <w:rPr>
          <w:rFonts w:ascii="Times New Roman" w:hAnsi="Times New Roman" w:eastAsia="仿宋_GB2312"/>
          <w:sz w:val="32"/>
          <w:szCs w:val="32"/>
        </w:rPr>
        <w:t>《中华人民共和国消防法》，国家主席令第二十九号，2019年4月23日。</w:t>
      </w:r>
    </w:p>
    <w:p w14:paraId="6C1A1BCD">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地方法律、法规、规定依据</w:t>
      </w:r>
    </w:p>
    <w:p w14:paraId="56AE691A">
      <w:pPr>
        <w:snapToGrid w:val="0"/>
        <w:spacing w:line="520" w:lineRule="exact"/>
        <w:ind w:firstLine="640" w:firstLineChars="200"/>
        <w:outlineLvl w:val="2"/>
        <w:rPr>
          <w:rFonts w:ascii="Times New Roman" w:hAnsi="Times New Roman" w:eastAsia="仿宋_GB2312"/>
          <w:sz w:val="32"/>
          <w:szCs w:val="32"/>
        </w:rPr>
      </w:pPr>
      <w:r>
        <w:rPr>
          <w:rFonts w:ascii="Times New Roman" w:hAnsi="Times New Roman" w:eastAsia="仿宋_GB2312"/>
          <w:kern w:val="0"/>
          <w:sz w:val="32"/>
          <w:szCs w:val="32"/>
        </w:rPr>
        <w:t>（1）</w:t>
      </w:r>
      <w:r>
        <w:rPr>
          <w:rFonts w:ascii="Times New Roman" w:hAnsi="Times New Roman" w:eastAsia="仿宋_GB2312"/>
          <w:sz w:val="32"/>
          <w:szCs w:val="32"/>
        </w:rPr>
        <w:t>《江苏省实施〈中华人民共和国突发事件应对法〉办法》，江苏省人民政府令第75号，2011年12月9日；</w:t>
      </w:r>
    </w:p>
    <w:p w14:paraId="5950A217">
      <w:pPr>
        <w:snapToGrid w:val="0"/>
        <w:spacing w:line="520" w:lineRule="exact"/>
        <w:ind w:firstLine="640" w:firstLineChars="200"/>
        <w:outlineLvl w:val="2"/>
        <w:rPr>
          <w:rFonts w:ascii="Times New Roman" w:hAnsi="Times New Roman" w:eastAsia="仿宋_GB2312"/>
          <w:sz w:val="32"/>
          <w:szCs w:val="32"/>
        </w:rPr>
      </w:pPr>
      <w:r>
        <w:rPr>
          <w:rFonts w:ascii="Times New Roman" w:hAnsi="Times New Roman" w:eastAsia="仿宋_GB2312"/>
          <w:sz w:val="32"/>
          <w:szCs w:val="32"/>
        </w:rPr>
        <w:t>（2）《关于进一步坚强全省环境应急演练管理工作的通知》，苏环函[2012]206号；</w:t>
      </w:r>
    </w:p>
    <w:p w14:paraId="44B842AB">
      <w:pPr>
        <w:pStyle w:val="39"/>
        <w:numPr>
          <w:ilvl w:val="0"/>
          <w:numId w:val="2"/>
        </w:numPr>
        <w:snapToGrid w:val="0"/>
        <w:spacing w:line="520" w:lineRule="exact"/>
        <w:ind w:firstLine="640"/>
        <w:outlineLvl w:val="2"/>
        <w:rPr>
          <w:rFonts w:ascii="Times New Roman" w:hAnsi="Times New Roman" w:eastAsia="仿宋_GB2312"/>
          <w:sz w:val="32"/>
          <w:szCs w:val="32"/>
        </w:rPr>
      </w:pPr>
      <w:r>
        <w:rPr>
          <w:rFonts w:ascii="Times New Roman" w:hAnsi="Times New Roman" w:eastAsia="仿宋_GB2312"/>
          <w:sz w:val="32"/>
          <w:szCs w:val="32"/>
        </w:rPr>
        <w:t>《关于深入推进环境应急预案规范化管理工作的通知》，苏环办[2012]221号；</w:t>
      </w:r>
    </w:p>
    <w:p w14:paraId="6F6BA1F8">
      <w:pPr>
        <w:pStyle w:val="39"/>
        <w:numPr>
          <w:ilvl w:val="0"/>
          <w:numId w:val="2"/>
        </w:numPr>
        <w:snapToGrid w:val="0"/>
        <w:spacing w:line="520" w:lineRule="exact"/>
        <w:ind w:firstLine="640"/>
        <w:outlineLvl w:val="2"/>
        <w:rPr>
          <w:rFonts w:ascii="Times New Roman" w:hAnsi="Times New Roman" w:eastAsia="仿宋_GB2312"/>
          <w:kern w:val="0"/>
          <w:sz w:val="32"/>
          <w:szCs w:val="32"/>
        </w:rPr>
      </w:pPr>
      <w:r>
        <w:rPr>
          <w:rFonts w:ascii="Times New Roman" w:hAnsi="Times New Roman" w:eastAsia="仿宋_GB2312"/>
          <w:sz w:val="32"/>
          <w:szCs w:val="32"/>
        </w:rPr>
        <w:t>《关于加强突发环境事件应急预案备案管理的通知》，苏环办字[2013]59号；</w:t>
      </w:r>
    </w:p>
    <w:p w14:paraId="61FA5AE6">
      <w:pPr>
        <w:numPr>
          <w:ilvl w:val="0"/>
          <w:numId w:val="2"/>
        </w:num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《江苏省生态空间管控区域规划》（苏政发[2020]1号）；</w:t>
      </w:r>
    </w:p>
    <w:p w14:paraId="514D3EA4">
      <w:pPr>
        <w:numPr>
          <w:ilvl w:val="0"/>
          <w:numId w:val="2"/>
        </w:num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《关于进一步做好环境风险防控工作的通知》，苏环办[2013]193号；</w:t>
      </w:r>
    </w:p>
    <w:p w14:paraId="47C4EE19">
      <w:pPr>
        <w:numPr>
          <w:ilvl w:val="0"/>
          <w:numId w:val="2"/>
        </w:num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《省政府关于印发江苏省大气污染防治行动计划实施方案的通知》，苏环发[2014]1号；</w:t>
      </w:r>
    </w:p>
    <w:p w14:paraId="4208EBF4">
      <w:pPr>
        <w:numPr>
          <w:ilvl w:val="0"/>
          <w:numId w:val="2"/>
        </w:num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《江苏省突发环境事件应急预案管理办法》，苏环规[2014]2号；</w:t>
      </w:r>
    </w:p>
    <w:p w14:paraId="79E2457B">
      <w:pPr>
        <w:numPr>
          <w:ilvl w:val="0"/>
          <w:numId w:val="2"/>
        </w:num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《关于加强省级以上工业园区（化工园区）突发环境事件应急预案备案管理的通知》（苏环办[2016]294号）。</w:t>
      </w:r>
    </w:p>
    <w:p w14:paraId="6960FEF4">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技术标准、规范</w:t>
      </w:r>
    </w:p>
    <w:p w14:paraId="23E6A1AA">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（1）《地表水环境质量标准》，GB3838-2002；</w:t>
      </w:r>
    </w:p>
    <w:p w14:paraId="155EA2A8">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（2）《地下水质量标准》，GB/T14848-2017；</w:t>
      </w:r>
    </w:p>
    <w:p w14:paraId="1CBB3C63">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（3）《环境空气质量标准》，GB3095-2012；</w:t>
      </w:r>
    </w:p>
    <w:p w14:paraId="243C5324">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（4）《声环境质量标准》，GB3096-2008；</w:t>
      </w:r>
    </w:p>
    <w:p w14:paraId="3A83D938">
      <w:pPr>
        <w:snapToGrid w:val="0"/>
        <w:spacing w:line="520" w:lineRule="exact"/>
        <w:rPr>
          <w:rFonts w:ascii="Times New Roman" w:hAnsi="Times New Roman" w:eastAsia="仿宋_GB2312"/>
          <w:sz w:val="32"/>
          <w:szCs w:val="32"/>
        </w:rPr>
      </w:pPr>
      <w:r>
        <w:rPr>
          <w:rFonts w:ascii="Times New Roman" w:hAnsi="Times New Roman" w:eastAsia="仿宋_GB2312"/>
          <w:sz w:val="32"/>
          <w:szCs w:val="32"/>
        </w:rPr>
        <w:t>《土壤环境质量建设用地土壤污染风险管控标准》，GB36600-2018；</w:t>
      </w:r>
    </w:p>
    <w:p w14:paraId="32DCAD3C">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（5）《工业企业设计卫生标准》，GBZ1-2010；</w:t>
      </w:r>
    </w:p>
    <w:p w14:paraId="6578A5AD">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（6）《工作场所有害因素职业接触限值》，GBZ2.1-2007；</w:t>
      </w:r>
    </w:p>
    <w:p w14:paraId="6612F218">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（7）《建设项目环境风险评价技术导则》，HJ169－2018；</w:t>
      </w:r>
    </w:p>
    <w:p w14:paraId="274C0814">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（8）《国家危险废物名录》，环境保护部令第39号，2016年3月30日；</w:t>
      </w:r>
      <w:bookmarkStart w:id="258" w:name="_Hlk49112255"/>
    </w:p>
    <w:p w14:paraId="4FE2369F">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（9）《危险废物鉴别标准 通则》，GB5085.7-2019；</w:t>
      </w:r>
    </w:p>
    <w:p w14:paraId="435CF3E7">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（10）《危险废物鉴别技术规范》，HJ298-2019；</w:t>
      </w:r>
    </w:p>
    <w:bookmarkEnd w:id="258"/>
    <w:p w14:paraId="1ADC91BE">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（11）《固体废物鉴别标准 通则》，GB34330-2017</w:t>
      </w:r>
    </w:p>
    <w:p w14:paraId="0344B324">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（12）《建筑设计防火规范》，GBJ50016-2014（2018版）；</w:t>
      </w:r>
    </w:p>
    <w:p w14:paraId="1590FD64">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（13）《污水综合排放标准》，GB8978-1996；</w:t>
      </w:r>
    </w:p>
    <w:p w14:paraId="0E4B7DFA">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（14）《城镇污水处理厂污染物排放标准》，GB18918-2002；</w:t>
      </w:r>
    </w:p>
    <w:p w14:paraId="69101D1C">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（15）《大气污染物综合排放标准》，GB16297-1996；</w:t>
      </w:r>
    </w:p>
    <w:p w14:paraId="121C8194">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（16）《企业突发环境事件风险评估指南（试行）》；</w:t>
      </w:r>
    </w:p>
    <w:p w14:paraId="72CA0988">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（17）《企业突发环境事件风险分级方法》，HJ931-2018；</w:t>
      </w:r>
    </w:p>
    <w:p w14:paraId="67F372BE">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（18）《企事业单位和工业园区突发环境事件应急预案编制导则》，DB32/T 3795-2020。</w:t>
      </w:r>
    </w:p>
    <w:p w14:paraId="6E6BBBC5">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259" w:name="_Toc37708979"/>
      <w:bookmarkStart w:id="260" w:name="_Toc37319221"/>
      <w:r>
        <w:rPr>
          <w:rFonts w:ascii="Times New Roman" w:hAnsi="Times New Roman" w:eastAsia="仿宋_GB2312"/>
          <w:kern w:val="0"/>
          <w:sz w:val="32"/>
          <w:szCs w:val="32"/>
        </w:rPr>
        <w:t>政府部门相关预案</w:t>
      </w:r>
      <w:bookmarkEnd w:id="259"/>
      <w:bookmarkEnd w:id="260"/>
    </w:p>
    <w:p w14:paraId="25BB69F1">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（1）《国家突发环境事件应急预案》，国办函[2014]119号；</w:t>
      </w:r>
    </w:p>
    <w:p w14:paraId="2E5F4BE3">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（2）《江苏省突发环境事件应急预案》，苏政办函[2020]37号；</w:t>
      </w:r>
    </w:p>
    <w:p w14:paraId="5D46435C">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（3）《连云港市突发环境事件应急预案》（2020年）。</w:t>
      </w:r>
    </w:p>
    <w:p w14:paraId="7622AE09">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261" w:name="_Toc516076551"/>
      <w:bookmarkStart w:id="262" w:name="_Toc470188823"/>
      <w:bookmarkStart w:id="263" w:name="_Toc482627172"/>
      <w:bookmarkStart w:id="264" w:name="_Toc511967098"/>
      <w:bookmarkStart w:id="265" w:name="_Toc55899562"/>
      <w:r>
        <w:rPr>
          <w:rFonts w:ascii="Times New Roman" w:hAnsi="Times New Roman" w:eastAsia="仿宋_GB2312"/>
          <w:kern w:val="0"/>
          <w:sz w:val="32"/>
          <w:szCs w:val="32"/>
        </w:rPr>
        <w:t>其他文件</w:t>
      </w:r>
      <w:bookmarkEnd w:id="261"/>
      <w:bookmarkEnd w:id="262"/>
      <w:bookmarkEnd w:id="263"/>
    </w:p>
    <w:bookmarkEnd w:id="264"/>
    <w:bookmarkEnd w:id="265"/>
    <w:p w14:paraId="0A9BC31B">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（1）《国务院关于南通、连云港两市进一步对外开放方案的批复》，[84]国函字183号；</w:t>
      </w:r>
    </w:p>
    <w:p w14:paraId="7E2EE6D0">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（2）《连云港经济技术开发区环境影响报告书》，1995年9月；</w:t>
      </w:r>
    </w:p>
    <w:p w14:paraId="5E019475">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（3）《关于对连云港经济技术开发区环评报告书及环保规划的审查意见》，苏环计[96]39号，1996年8月；</w:t>
      </w:r>
    </w:p>
    <w:p w14:paraId="11D0A1FC">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（4）《国务院办公厅关于增设出口加工区的复函》，国办函[2003]19号，2003年3月；</w:t>
      </w:r>
    </w:p>
    <w:p w14:paraId="46B7BC28">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（5）《国家级连云港出口加工区环境影响报告书》，2005年4月；</w:t>
      </w:r>
    </w:p>
    <w:p w14:paraId="04F27D8E">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《关于对国家级连云港出口加工区环境影响报告书的批复》，苏环管[2005]124号，2005年4月；</w:t>
      </w:r>
    </w:p>
    <w:p w14:paraId="60B9AAC8">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（6）《商务部 国土资源部 建设部 关于同意连云港经济技术开发区扩大建设用地规划范围的复函》，商资函[2005]73号，2005年11月；</w:t>
      </w:r>
    </w:p>
    <w:p w14:paraId="68D0BC35">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（7）《连云港经济技术开发区扩大建设用地规划环境影响报告书》，2008年10月；</w:t>
      </w:r>
    </w:p>
    <w:p w14:paraId="1CBF6F93">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（8）《关于连云港经济技术开发区扩大建设用地规划环境影响报告书的审查意见》，环审[2009]112号，2009年3月；</w:t>
      </w:r>
    </w:p>
    <w:p w14:paraId="13BB140F">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（9）《连云港经济技术开发区突发环境事件应急预案》，2016年5月。</w:t>
      </w:r>
    </w:p>
    <w:p w14:paraId="389A305B">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266" w:name="_Toc393289575"/>
      <w:bookmarkStart w:id="267" w:name="_Toc58392442"/>
      <w:bookmarkStart w:id="268" w:name="_Toc393289217"/>
      <w:r>
        <w:rPr>
          <w:rFonts w:ascii="Times New Roman" w:hAnsi="Times New Roman" w:eastAsia="楷体_GB2312"/>
          <w:sz w:val="32"/>
          <w:szCs w:val="32"/>
        </w:rPr>
        <w:t xml:space="preserve">  适用范围</w:t>
      </w:r>
      <w:bookmarkEnd w:id="266"/>
      <w:bookmarkEnd w:id="267"/>
      <w:bookmarkEnd w:id="268"/>
    </w:p>
    <w:p w14:paraId="1954C94D">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本预案适用于连云港经济技术开发区范围内发生的以下各类突发环境污染事故：</w:t>
      </w:r>
    </w:p>
    <w:p w14:paraId="0670141E">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（1）开发区范围内由于环境风险物质泄漏进入大气、水体、土壤等环境介质，导致的环境污染事故；</w:t>
      </w:r>
    </w:p>
    <w:p w14:paraId="5EA11167">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（2）易燃易爆化学品泄漏造成火灾、爆炸事故次生有毒有害物质引发的突发性环境污染事故；</w:t>
      </w:r>
    </w:p>
    <w:p w14:paraId="0E5FFF79">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（3）企业生产过程中因生产装置、污染防治设施、设备等因素导致污染物的超标排放引发的环境污染事故。</w:t>
      </w:r>
    </w:p>
    <w:p w14:paraId="50FEDB70">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环境污染事故具有发生突然、扩散迅速、危害途径多、影响范围广的特点，本预案在预防为主的前提下，贯彻“统一指挥、分级负责、区域为主、单位自救与社会救援相结合”的原则。坚持以人为本，树立全面、协调、可持续的科学发展观，遵循预防为主、常备不懈的方针，建立健全统一领导、分级管理、职责明确、反应灵敏、运转高效的环境污染事故预警机制，提高开发区的环境管理水平和应对环境突发事故的能力。</w:t>
      </w:r>
    </w:p>
    <w:p w14:paraId="50248451">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269" w:name="_Toc58392443"/>
      <w:r>
        <w:rPr>
          <w:rFonts w:ascii="Times New Roman" w:hAnsi="Times New Roman" w:eastAsia="楷体_GB2312"/>
          <w:sz w:val="32"/>
          <w:szCs w:val="32"/>
        </w:rPr>
        <w:t xml:space="preserve">  预案体系</w:t>
      </w:r>
      <w:bookmarkEnd w:id="269"/>
    </w:p>
    <w:p w14:paraId="43D7BFC4">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连云港经济技术开发区突发环境事件应急预案体系由上级应急预案、本级应急预案以及下级应急预案组成。上级应急预案为连云港市突发环境事件应急预案，下级应急预案为企事业单位突发环境事件应急预案，本级应急预案即为开发区突发环境事件应急预案预案。本预案由总则、开发区基本情况、环境风险源与环境风险评价、应急救援机构及职责、预防与预警、信息报告与通报、应急响应与措施、后期处置、应急培训与演练、奖惩、保障措施、预案的评审备案发布和更新、应急预案实施、附录组成。开发区各企业应编制适合各自企业的突发环境事件应急预案，并与本预案相关内容有效衔接，确保事故得到及时、有效的响应与处理。</w:t>
      </w:r>
    </w:p>
    <w:p w14:paraId="25E0D616">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270" w:name="_Toc393289216"/>
      <w:bookmarkStart w:id="271" w:name="_Toc393289570"/>
      <w:bookmarkStart w:id="272" w:name="_Toc58392444"/>
      <w:r>
        <w:rPr>
          <w:rFonts w:ascii="Times New Roman" w:hAnsi="Times New Roman" w:eastAsia="楷体_GB2312"/>
          <w:sz w:val="32"/>
          <w:szCs w:val="32"/>
        </w:rPr>
        <w:t xml:space="preserve">  突发环境事件分级</w:t>
      </w:r>
      <w:bookmarkEnd w:id="270"/>
      <w:bookmarkEnd w:id="271"/>
      <w:bookmarkEnd w:id="272"/>
    </w:p>
    <w:p w14:paraId="714D5BD8">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针对突发环境事件严重性、紧急程度及危害程度，结合《江苏省突发环境事件应急预案》中的事件分级标准及开发区风险受体分布情况，将开发区内可能发生的突发环境事件分为社会级（一级）、开发区级（二级）、企事业单位级（三级），对应响应级别分别为</w:t>
      </w:r>
      <w:r>
        <w:rPr>
          <w:rFonts w:hint="eastAsia" w:ascii="宋体" w:hAnsi="宋体" w:eastAsia="宋体" w:cs="宋体"/>
          <w:sz w:val="32"/>
          <w:szCs w:val="32"/>
        </w:rPr>
        <w:t>Ⅰ</w:t>
      </w:r>
      <w:r>
        <w:rPr>
          <w:rFonts w:ascii="Times New Roman" w:hAnsi="Times New Roman" w:eastAsia="仿宋_GB2312"/>
          <w:sz w:val="32"/>
          <w:szCs w:val="32"/>
        </w:rPr>
        <w:t>级、</w:t>
      </w:r>
      <w:r>
        <w:rPr>
          <w:rFonts w:hint="eastAsia" w:ascii="宋体" w:hAnsi="宋体" w:eastAsia="宋体" w:cs="宋体"/>
          <w:sz w:val="32"/>
          <w:szCs w:val="32"/>
        </w:rPr>
        <w:t>Ⅱ</w:t>
      </w:r>
      <w:r>
        <w:rPr>
          <w:rFonts w:ascii="Times New Roman" w:hAnsi="Times New Roman" w:eastAsia="仿宋_GB2312"/>
          <w:sz w:val="32"/>
          <w:szCs w:val="32"/>
        </w:rPr>
        <w:t>级、</w:t>
      </w:r>
      <w:r>
        <w:rPr>
          <w:rFonts w:hint="eastAsia" w:ascii="宋体" w:hAnsi="宋体" w:eastAsia="宋体" w:cs="宋体"/>
          <w:sz w:val="32"/>
          <w:szCs w:val="32"/>
        </w:rPr>
        <w:t>Ⅲ</w:t>
      </w:r>
      <w:r>
        <w:rPr>
          <w:rFonts w:ascii="Times New Roman" w:hAnsi="Times New Roman" w:eastAsia="仿宋_GB2312"/>
          <w:sz w:val="32"/>
          <w:szCs w:val="32"/>
        </w:rPr>
        <w:t>级。</w:t>
      </w:r>
    </w:p>
    <w:p w14:paraId="18B77050">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社会级（一级）突发环境事件</w:t>
      </w:r>
    </w:p>
    <w:p w14:paraId="7BE292BD">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凡符合下列情形之一的，为社会级（一级）突发环境事件：</w:t>
      </w:r>
    </w:p>
    <w:p w14:paraId="2E26F5B9">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⑴</w:t>
      </w:r>
      <w:r>
        <w:rPr>
          <w:rFonts w:ascii="Times New Roman" w:hAnsi="Times New Roman" w:eastAsia="仿宋_GB2312"/>
          <w:sz w:val="32"/>
          <w:szCs w:val="32"/>
        </w:rPr>
        <w:t xml:space="preserve"> 开发区内有毒有害气体泄漏或火灾、爆炸伴生、次生大气污染物排放对开发区外大气环境风险受体造成不利影响，导致开发区外环境空气质量超标的且需对开发区外居民进行疏散、转移的；</w:t>
      </w:r>
    </w:p>
    <w:p w14:paraId="12FBEDCE">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⑵</w:t>
      </w:r>
      <w:r>
        <w:rPr>
          <w:rFonts w:ascii="Times New Roman" w:hAnsi="Times New Roman" w:eastAsia="仿宋_GB2312"/>
          <w:sz w:val="32"/>
          <w:szCs w:val="32"/>
        </w:rPr>
        <w:t xml:space="preserve"> 开发区内有毒有害物质泄漏或其他废水进入区外水体，造成水环境污染事件的；</w:t>
      </w:r>
    </w:p>
    <w:p w14:paraId="362DF101">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⑶</w:t>
      </w:r>
      <w:r>
        <w:rPr>
          <w:rFonts w:ascii="Times New Roman" w:hAnsi="Times New Roman" w:eastAsia="仿宋_GB2312"/>
          <w:sz w:val="32"/>
          <w:szCs w:val="32"/>
        </w:rPr>
        <w:t xml:space="preserve"> 因环境污染造成集中式饮用水水源地取水中断的。</w:t>
      </w:r>
    </w:p>
    <w:p w14:paraId="49DD0862">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开发区级（二级）突发环境事件</w:t>
      </w:r>
    </w:p>
    <w:p w14:paraId="45C47561">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凡符合下列情形之一的，为开发区级（二级）突发环境事件：</w:t>
      </w:r>
    </w:p>
    <w:p w14:paraId="27646FF0">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⑴</w:t>
      </w:r>
      <w:r>
        <w:rPr>
          <w:rFonts w:ascii="Times New Roman" w:hAnsi="Times New Roman" w:eastAsia="仿宋_GB2312"/>
          <w:sz w:val="32"/>
          <w:szCs w:val="32"/>
        </w:rPr>
        <w:t xml:space="preserve"> 开发区内有毒有害气体泄漏或火灾、爆炸伴生、次生大气污染物排放对开发区内部大气环境风险受体造成不利影响，但未导致环境空气质量超标的；</w:t>
      </w:r>
    </w:p>
    <w:p w14:paraId="43DA4E6B">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⑵</w:t>
      </w:r>
      <w:r>
        <w:rPr>
          <w:rFonts w:ascii="Times New Roman" w:hAnsi="Times New Roman" w:eastAsia="仿宋_GB2312"/>
          <w:sz w:val="32"/>
          <w:szCs w:val="32"/>
        </w:rPr>
        <w:t xml:space="preserve"> 开发区内有毒有害物质泄漏或其他废水进入区内水体，造成水环境污染事件，但并未进入区外水体的；</w:t>
      </w:r>
    </w:p>
    <w:p w14:paraId="1A4B51FF">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⑶</w:t>
      </w:r>
      <w:r>
        <w:rPr>
          <w:rFonts w:ascii="Times New Roman" w:hAnsi="Times New Roman" w:eastAsia="仿宋_GB2312"/>
          <w:sz w:val="32"/>
          <w:szCs w:val="32"/>
        </w:rPr>
        <w:t xml:space="preserve"> 因环境污染需对开发区内居民进行疏散、转移的。</w:t>
      </w:r>
    </w:p>
    <w:p w14:paraId="1EEA1F9E">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企事业单位级（三级）突发环境事件</w:t>
      </w:r>
    </w:p>
    <w:p w14:paraId="394B591C">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凡符合下列情形的，为企事业单位级（三级）突发环境事件：</w:t>
      </w:r>
    </w:p>
    <w:p w14:paraId="00E5F4FE">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企事业单位内发生的泄漏或火灾、爆炸事故，未对周边大气环境造成不利影响，未造成厂外水体污染事件的。</w:t>
      </w:r>
    </w:p>
    <w:p w14:paraId="70204280">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273" w:name="_Toc393289576"/>
      <w:bookmarkStart w:id="274" w:name="_Toc393289218"/>
      <w:bookmarkStart w:id="275" w:name="_Toc58392445"/>
      <w:r>
        <w:rPr>
          <w:rFonts w:ascii="Times New Roman" w:hAnsi="Times New Roman" w:eastAsia="楷体_GB2312"/>
          <w:sz w:val="32"/>
          <w:szCs w:val="32"/>
        </w:rPr>
        <w:t xml:space="preserve">  工作原则</w:t>
      </w:r>
      <w:bookmarkEnd w:id="273"/>
      <w:bookmarkEnd w:id="274"/>
      <w:bookmarkEnd w:id="275"/>
    </w:p>
    <w:p w14:paraId="3D9388F0">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（1）以人为本，预防为主。</w:t>
      </w:r>
    </w:p>
    <w:p w14:paraId="3F7F7FB2">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强化、落实开发区及区内各企事业单位环境安全主体责任，建立开发区突发环境事件预警防范体系，及时消除环境安全隐患，提高应急处置能力，采取积极措施消除或减轻突发环境事件造成的影响和损失，最大程度地保障公众的环境安全。</w:t>
      </w:r>
    </w:p>
    <w:p w14:paraId="39F54053">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（2）统一领导，分类管理。</w:t>
      </w:r>
    </w:p>
    <w:p w14:paraId="5355F588">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完善应急处置运行机制，协调开发区相关部门，整合现有资源，提高应急处置效率。</w:t>
      </w:r>
    </w:p>
    <w:p w14:paraId="36F74D5A">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（3）职责明确，规范有序，协调高效。</w:t>
      </w:r>
    </w:p>
    <w:p w14:paraId="7473E551">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实行区域管理和分级负责的原则，开发区各部门应按职责分工，密切合作，落实各项应急措施。</w:t>
      </w:r>
    </w:p>
    <w:p w14:paraId="659EA8FB">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（4）依靠科技，提高素质。</w:t>
      </w:r>
    </w:p>
    <w:p w14:paraId="66BA6A2E">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整合现有环境应急救援力量和环境监测网络，发挥专业应急处置队伍和专家队伍的积极作用。充分做好应对突发环境事件的物资装备和技术准备，加强培训演练。</w:t>
      </w:r>
    </w:p>
    <w:p w14:paraId="5FA3DC0A">
      <w:pPr>
        <w:snapToGrid w:val="0"/>
        <w:spacing w:line="520" w:lineRule="exact"/>
        <w:ind w:firstLine="640" w:firstLineChars="200"/>
        <w:rPr>
          <w:rFonts w:ascii="Times New Roman" w:hAnsi="Times New Roman" w:eastAsia="仿宋_GB2312"/>
          <w:sz w:val="32"/>
          <w:szCs w:val="32"/>
        </w:rPr>
      </w:pPr>
      <w:r>
        <w:rPr>
          <w:rFonts w:ascii="Times New Roman" w:hAnsi="Times New Roman" w:eastAsia="宋体"/>
          <w:sz w:val="32"/>
          <w:szCs w:val="32"/>
        </w:rPr>
        <w:t>（5）</w:t>
      </w:r>
      <w:r>
        <w:rPr>
          <w:rFonts w:ascii="Times New Roman" w:hAnsi="Times New Roman" w:eastAsia="仿宋_GB2312"/>
          <w:sz w:val="32"/>
          <w:szCs w:val="32"/>
        </w:rPr>
        <w:t>整合资源，信息共享，平战结合。</w:t>
      </w:r>
    </w:p>
    <w:p w14:paraId="5150BF02">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充分利用社会资源，发挥政府、行业、部门及社会资源优势，共同应对突发环境污染事件和生态破坏事故。</w:t>
      </w:r>
    </w:p>
    <w:p w14:paraId="25501F6E">
      <w:pPr>
        <w:snapToGrid w:val="0"/>
        <w:jc w:val="center"/>
        <w:rPr>
          <w:rFonts w:ascii="Times New Roman" w:hAnsi="Times New Roman" w:eastAsia="仿宋_GB2312"/>
          <w:sz w:val="32"/>
          <w:szCs w:val="32"/>
        </w:rPr>
      </w:pPr>
    </w:p>
    <w:p w14:paraId="0D4F49E5">
      <w:pPr>
        <w:snapToGrid w:val="0"/>
        <w:jc w:val="center"/>
        <w:rPr>
          <w:rFonts w:ascii="Times New Roman" w:hAnsi="Times New Roman" w:eastAsia="仿宋_GB2312"/>
          <w:sz w:val="32"/>
          <w:szCs w:val="32"/>
        </w:rPr>
        <w:sectPr>
          <w:headerReference r:id="rId21" w:type="default"/>
          <w:footerReference r:id="rId22" w:type="default"/>
          <w:pgSz w:w="11906" w:h="16838"/>
          <w:pgMar w:top="2098" w:right="1474" w:bottom="1985" w:left="1588" w:header="851" w:footer="1588" w:gutter="0"/>
          <w:cols w:space="720" w:num="1"/>
          <w:docGrid w:linePitch="312" w:charSpace="0"/>
        </w:sectPr>
      </w:pPr>
    </w:p>
    <w:p w14:paraId="4759CBA4">
      <w:pPr>
        <w:snapToGrid w:val="0"/>
        <w:jc w:val="center"/>
        <w:rPr>
          <w:rFonts w:ascii="Times New Roman" w:hAnsi="Times New Roman" w:eastAsia="仿宋_GB2312"/>
          <w:sz w:val="32"/>
          <w:szCs w:val="32"/>
        </w:rPr>
      </w:pPr>
      <w:r>
        <w:rPr>
          <w:rFonts w:ascii="Times New Roman" w:hAnsi="Times New Roman" w:eastAsia="宋体"/>
          <w:sz w:val="32"/>
          <w:szCs w:val="32"/>
        </w:rPr>
        <w:object>
          <v:shape id="_x0000_i1025" o:spt="75" type="#_x0000_t75" style="height:276.25pt;width:437.15pt;" o:ole="t" filled="f" o:preferrelative="t" stroked="f" coordsize="21600,21600">
            <v:path/>
            <v:fill on="f" focussize="0,0"/>
            <v:stroke on="f" joinstyle="miter"/>
            <v:imagedata r:id="rId31" o:title=""/>
            <o:lock v:ext="edit" aspectratio="t"/>
            <w10:wrap type="none"/>
            <w10:anchorlock/>
          </v:shape>
          <o:OLEObject Type="Embed" ProgID="Visio.Drawing.15" ShapeID="_x0000_i1025" DrawAspect="Content" ObjectID="_1468075725" r:id="rId30">
            <o:LockedField>false</o:LockedField>
          </o:OLEObject>
        </w:object>
      </w:r>
    </w:p>
    <w:p w14:paraId="1B24F0D7">
      <w:pPr>
        <w:snapToGrid w:val="0"/>
        <w:jc w:val="center"/>
        <w:rPr>
          <w:rFonts w:ascii="Times New Roman" w:hAnsi="Times New Roman" w:eastAsia="仿宋_GB2312"/>
          <w:sz w:val="32"/>
          <w:szCs w:val="32"/>
        </w:rPr>
      </w:pPr>
      <w:r>
        <w:rPr>
          <w:rFonts w:ascii="Times New Roman" w:hAnsi="Times New Roman" w:eastAsia="仿宋_GB2312"/>
          <w:sz w:val="32"/>
          <w:szCs w:val="32"/>
        </w:rPr>
        <w:t>图1.4-1   连云港经济技术开发区突发环境事件应急预案体系</w:t>
      </w:r>
    </w:p>
    <w:p w14:paraId="08662901">
      <w:pPr>
        <w:snapToGrid w:val="0"/>
        <w:jc w:val="center"/>
        <w:rPr>
          <w:rFonts w:ascii="Times New Roman" w:hAnsi="Times New Roman" w:eastAsia="仿宋_GB2312"/>
          <w:sz w:val="32"/>
          <w:szCs w:val="32"/>
        </w:rPr>
        <w:sectPr>
          <w:pgSz w:w="11906" w:h="16838"/>
          <w:pgMar w:top="2098" w:right="1474" w:bottom="1985" w:left="1588" w:header="851" w:footer="1588" w:gutter="0"/>
          <w:cols w:space="720" w:num="1"/>
          <w:docGrid w:linePitch="312" w:charSpace="0"/>
        </w:sectPr>
      </w:pPr>
    </w:p>
    <w:bookmarkEnd w:id="250"/>
    <w:p w14:paraId="1505DB82">
      <w:pPr>
        <w:numPr>
          <w:ilvl w:val="0"/>
          <w:numId w:val="1"/>
        </w:numPr>
        <w:snapToGrid w:val="0"/>
        <w:spacing w:line="560" w:lineRule="exact"/>
        <w:ind w:left="0" w:firstLine="640" w:firstLineChars="200"/>
        <w:outlineLvl w:val="0"/>
        <w:rPr>
          <w:rFonts w:ascii="Times New Roman" w:hAnsi="Times New Roman" w:eastAsia="黑体"/>
          <w:sz w:val="32"/>
          <w:szCs w:val="32"/>
        </w:rPr>
      </w:pPr>
      <w:bookmarkStart w:id="276" w:name="_Toc415756857"/>
      <w:bookmarkStart w:id="277" w:name="_Toc58392446"/>
      <w:bookmarkStart w:id="278" w:name="_Toc414283254"/>
      <w:bookmarkStart w:id="279" w:name="_Toc341528650"/>
      <w:bookmarkStart w:id="280" w:name="_Toc341522690"/>
      <w:bookmarkStart w:id="281" w:name="_Toc321051081"/>
      <w:bookmarkStart w:id="282" w:name="_Toc260658476"/>
      <w:bookmarkStart w:id="283" w:name="_Toc341522472"/>
      <w:r>
        <w:rPr>
          <w:rFonts w:ascii="Times New Roman" w:hAnsi="Times New Roman" w:eastAsia="黑体"/>
          <w:sz w:val="32"/>
          <w:szCs w:val="32"/>
        </w:rPr>
        <w:t xml:space="preserve">  应急救援组织体系与职责</w:t>
      </w:r>
      <w:bookmarkEnd w:id="276"/>
      <w:bookmarkEnd w:id="277"/>
      <w:bookmarkEnd w:id="278"/>
      <w:bookmarkEnd w:id="279"/>
      <w:bookmarkEnd w:id="280"/>
      <w:bookmarkEnd w:id="281"/>
      <w:bookmarkEnd w:id="282"/>
      <w:bookmarkEnd w:id="283"/>
    </w:p>
    <w:p w14:paraId="6817C95F">
      <w:pPr>
        <w:numPr>
          <w:ilvl w:val="1"/>
          <w:numId w:val="1"/>
        </w:numPr>
        <w:snapToGrid w:val="0"/>
        <w:spacing w:line="560" w:lineRule="exact"/>
        <w:ind w:left="0" w:firstLine="640" w:firstLineChars="200"/>
        <w:outlineLvl w:val="1"/>
        <w:rPr>
          <w:rFonts w:ascii="Times New Roman" w:hAnsi="Times New Roman" w:eastAsia="楷体_GB2312"/>
          <w:sz w:val="32"/>
          <w:szCs w:val="32"/>
        </w:rPr>
      </w:pPr>
      <w:bookmarkStart w:id="284" w:name="_Toc58392447"/>
      <w:r>
        <w:rPr>
          <w:rFonts w:ascii="Times New Roman" w:hAnsi="Times New Roman" w:eastAsia="楷体_GB2312"/>
          <w:sz w:val="32"/>
          <w:szCs w:val="32"/>
        </w:rPr>
        <w:t xml:space="preserve">  应急救援组织体系</w:t>
      </w:r>
      <w:bookmarkEnd w:id="284"/>
    </w:p>
    <w:p w14:paraId="7A803469">
      <w:pPr>
        <w:snapToGrid w:val="0"/>
        <w:spacing w:line="560" w:lineRule="exact"/>
        <w:ind w:firstLine="640" w:firstLineChars="200"/>
        <w:rPr>
          <w:rFonts w:ascii="Times New Roman" w:hAnsi="Times New Roman" w:eastAsia="仿宋_GB2312"/>
          <w:kern w:val="0"/>
          <w:sz w:val="32"/>
          <w:szCs w:val="32"/>
        </w:rPr>
      </w:pPr>
      <w:bookmarkStart w:id="285" w:name="_Hlk39053884"/>
      <w:r>
        <w:rPr>
          <w:rFonts w:ascii="Times New Roman" w:hAnsi="Times New Roman" w:eastAsia="仿宋_GB2312"/>
          <w:kern w:val="0"/>
          <w:sz w:val="32"/>
          <w:szCs w:val="32"/>
        </w:rPr>
        <w:t>连云港经济技术开发区管委会成立开发区突发环境事件应急指挥部，统一领导开发区突发环境事件应急处置工作。</w:t>
      </w:r>
    </w:p>
    <w:p w14:paraId="55D4870D">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应急指挥部总指挥由开发区管委会常务副主任担任，副总指挥由开发区管委会分管副主任担任，成员单位主要包括区党政办公室、区组织宣传部、区经济发展局、区财政局、区住房和城乡建设局、区综合行政执法局、区应急管理局、市生态环境局开发区分局、连云港市公安消防支队开发区大队等有关部门，同时包括朝阳街道办事处、中云街道办事处以及猴嘴街道办事处等。</w:t>
      </w:r>
    </w:p>
    <w:p w14:paraId="56C434C0">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指挥部于市生态环境局市生态环境局开发区分局设置应急办公室，承担开发区应急预案编制及环境风险企业的日常管理工作。</w:t>
      </w:r>
    </w:p>
    <w:p w14:paraId="61BE73B4">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当开发区内发生较大及以上突发环境事件，依靠企业自身力量已无法应对时，应急指挥部根据应急处置工作需要及事件类型，即可成立环境应急现场指挥部，负责事故现场的应急指挥工作。现场指挥部由开发区突发环境事件应急指挥部主要领导、相关部门负责人、专家组及相关企业负责人组成。</w:t>
      </w:r>
    </w:p>
    <w:p w14:paraId="553BFC00">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开发区突发环境事件应急指挥部、市生态环境局开发区分局及环境应急现场指挥部形成联动机制的三级应急救援管理体系，在应急响应时，根据事件实际情况，通知相关单位及人员成立相应的应急救援队伍。</w:t>
      </w:r>
    </w:p>
    <w:p w14:paraId="506FEE9D">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内环境风险应急管理实行三级管理：开发区突发环境事件应急指挥部为一级应急管理指挥机构；市生态环境局开发区分局为二级应急管理指挥机构；开发区内各企业根据自身实际情况及企业应急防范的需要，结合各企业应急预案的要求，各自成立突发环境事件应急指挥小组，并由市生态环境局开发区分局组织成立现场指挥部，为三级应急管理指挥机构，分别负责组织实施开发区及开发区内各企业的突发环境事件应急救援工作。</w:t>
      </w:r>
    </w:p>
    <w:bookmarkEnd w:id="285"/>
    <w:p w14:paraId="66E9A810">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kern w:val="0"/>
          <w:sz w:val="32"/>
          <w:szCs w:val="32"/>
        </w:rPr>
        <w:t>开发区突发环境事故应急救援体系详见图5.1-1</w:t>
      </w:r>
      <w:r>
        <w:rPr>
          <w:rFonts w:ascii="Times New Roman" w:hAnsi="Times New Roman" w:eastAsia="仿宋_GB2312"/>
          <w:sz w:val="32"/>
          <w:szCs w:val="32"/>
        </w:rPr>
        <w:t>。</w:t>
      </w:r>
    </w:p>
    <w:p w14:paraId="5D77AA06">
      <w:pPr>
        <w:snapToGrid w:val="0"/>
        <w:spacing w:line="500" w:lineRule="exact"/>
        <w:ind w:firstLine="640" w:firstLineChars="200"/>
        <w:rPr>
          <w:rFonts w:ascii="Times New Roman" w:hAnsi="Times New Roman" w:eastAsia="仿宋_GB2312"/>
          <w:sz w:val="32"/>
          <w:szCs w:val="32"/>
        </w:rPr>
      </w:pPr>
    </w:p>
    <w:p w14:paraId="5D71445E">
      <w:pPr>
        <w:snapToGrid w:val="0"/>
        <w:spacing w:line="500" w:lineRule="exact"/>
        <w:ind w:firstLine="640" w:firstLineChars="200"/>
        <w:rPr>
          <w:rFonts w:ascii="Times New Roman" w:hAnsi="Times New Roman" w:eastAsia="仿宋_GB2312"/>
          <w:sz w:val="32"/>
          <w:szCs w:val="32"/>
        </w:rPr>
        <w:sectPr>
          <w:pgSz w:w="11906" w:h="16838"/>
          <w:pgMar w:top="2098" w:right="1474" w:bottom="1985" w:left="1588" w:header="851" w:footer="1588" w:gutter="0"/>
          <w:cols w:space="720" w:num="1"/>
          <w:docGrid w:linePitch="312" w:charSpace="0"/>
        </w:sectPr>
      </w:pPr>
    </w:p>
    <w:p w14:paraId="78F06FDA">
      <w:pPr>
        <w:spacing w:line="360" w:lineRule="auto"/>
        <w:jc w:val="center"/>
        <w:rPr>
          <w:rFonts w:ascii="Times New Roman" w:hAnsi="Times New Roman" w:eastAsia="仿宋_GB2312"/>
          <w:sz w:val="32"/>
          <w:szCs w:val="32"/>
        </w:rPr>
      </w:pPr>
      <w:bookmarkStart w:id="286" w:name="_Hlk39053520"/>
      <w:r>
        <w:rPr>
          <w:rFonts w:ascii="Times New Roman" w:hAnsi="Times New Roman" w:eastAsia="宋体"/>
          <w:sz w:val="32"/>
          <w:szCs w:val="32"/>
        </w:rPr>
        <w:object>
          <v:shape id="_x0000_i1026" o:spt="75" type="#_x0000_t75" style="height:268.9pt;width:451.1pt;" o:ole="t" filled="f" o:preferrelative="t" stroked="f" coordsize="21600,21600">
            <v:path/>
            <v:fill on="f" focussize="0,0"/>
            <v:stroke on="f" joinstyle="miter"/>
            <v:imagedata r:id="rId33" o:title=""/>
            <o:lock v:ext="edit" aspectratio="t"/>
            <w10:wrap type="none"/>
            <w10:anchorlock/>
          </v:shape>
          <o:OLEObject Type="Embed" ProgID="Visio.Drawing.15" ShapeID="_x0000_i1026" DrawAspect="Content" ObjectID="_1468075726" r:id="rId32">
            <o:LockedField>false</o:LockedField>
          </o:OLEObject>
        </w:object>
      </w:r>
      <w:bookmarkEnd w:id="286"/>
    </w:p>
    <w:p w14:paraId="4DEDDBA9">
      <w:pPr>
        <w:snapToGrid w:val="0"/>
        <w:jc w:val="center"/>
        <w:rPr>
          <w:rFonts w:ascii="Times New Roman" w:hAnsi="Times New Roman" w:eastAsia="仿宋_GB2312"/>
          <w:sz w:val="32"/>
          <w:szCs w:val="32"/>
        </w:rPr>
      </w:pPr>
      <w:r>
        <w:rPr>
          <w:rFonts w:ascii="Times New Roman" w:hAnsi="Times New Roman" w:eastAsia="仿宋_GB2312"/>
          <w:sz w:val="32"/>
          <w:szCs w:val="32"/>
        </w:rPr>
        <w:t>图5.1-1   开发区突发环境事故应急救援体系图</w:t>
      </w:r>
    </w:p>
    <w:p w14:paraId="4CB2355D">
      <w:pPr>
        <w:spacing w:line="400" w:lineRule="exact"/>
        <w:jc w:val="center"/>
        <w:rPr>
          <w:rFonts w:ascii="Times New Roman" w:hAnsi="Times New Roman" w:eastAsia="仿宋_GB2312"/>
          <w:sz w:val="32"/>
          <w:szCs w:val="32"/>
        </w:rPr>
        <w:sectPr>
          <w:pgSz w:w="11906" w:h="16838"/>
          <w:pgMar w:top="2098" w:right="1474" w:bottom="1985" w:left="1588" w:header="851" w:footer="1588" w:gutter="0"/>
          <w:cols w:space="720" w:num="1"/>
          <w:docGrid w:linePitch="312" w:charSpace="0"/>
        </w:sectPr>
      </w:pPr>
    </w:p>
    <w:p w14:paraId="4EF16359">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287" w:name="_Toc58392448"/>
      <w:r>
        <w:rPr>
          <w:rFonts w:ascii="Times New Roman" w:hAnsi="Times New Roman" w:eastAsia="楷体_GB2312"/>
          <w:sz w:val="32"/>
          <w:szCs w:val="32"/>
        </w:rPr>
        <w:t xml:space="preserve">  应急救援指挥机构组成及职责</w:t>
      </w:r>
      <w:bookmarkEnd w:id="287"/>
    </w:p>
    <w:p w14:paraId="4C8B0CA1">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应急救援指挥机构组成</w:t>
      </w:r>
    </w:p>
    <w:p w14:paraId="12BD5A44">
      <w:pPr>
        <w:snapToGrid w:val="0"/>
        <w:spacing w:line="520" w:lineRule="exact"/>
        <w:ind w:firstLine="640" w:firstLineChars="200"/>
        <w:rPr>
          <w:rFonts w:ascii="Times New Roman" w:hAnsi="Times New Roman" w:eastAsia="仿宋_GB2312"/>
          <w:kern w:val="0"/>
          <w:sz w:val="32"/>
          <w:szCs w:val="32"/>
        </w:rPr>
      </w:pPr>
      <w:bookmarkStart w:id="288" w:name="_Hlk39054114"/>
      <w:r>
        <w:rPr>
          <w:rFonts w:ascii="Times New Roman" w:hAnsi="Times New Roman" w:eastAsia="仿宋_GB2312"/>
          <w:kern w:val="0"/>
          <w:sz w:val="32"/>
          <w:szCs w:val="32"/>
        </w:rPr>
        <w:t>开发区突发环境事件应急救援指挥工作由开发区应急指挥部承担，指指挥部于市生态环境局开发区分局设立常驻办公室，当发生或即将发生较大以上突发环境事件时，根据指挥中心建议，市生态环境局开发区分局立即前往现场，组织成立突发环境事件现场应急指挥部（以下简称应急指挥部），统一领导、协调突发环境事件的应急处置工作，指挥部组成包括总指挥、副总指挥和指挥中心成员。指挥中心成员直接领导各下属应急救援团队，并向总指挥汇报，由总指挥协调各队工作的进行。</w:t>
      </w:r>
    </w:p>
    <w:p w14:paraId="14C58106">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突发环境事件应急指挥部组成人员：</w:t>
      </w:r>
    </w:p>
    <w:p w14:paraId="0F67B9F3">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总指挥：常务副主任；</w:t>
      </w:r>
    </w:p>
    <w:p w14:paraId="63481857">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副总指挥：开发区管委会分管副主任；</w:t>
      </w:r>
    </w:p>
    <w:p w14:paraId="3EA9FA34">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成员：各部门主要负责人（具体人员名单及联系方式见附件）。</w:t>
      </w:r>
    </w:p>
    <w:p w14:paraId="3C9BA32A">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总指挥在接到事件发生企业单位的报警后，决定启动开发区环境应急预案，通知应急救援的相关部门（环保、消防、急救等）做好应急准备，并负责应急救援的统一指挥。根据事件发生、发展的情况决定是否请求上级应急指挥机构给予支援，副总指挥协助总指挥组织和指挥应急救援的具体工作。当总指挥外出时，由副总指挥为总指挥，全权负责应急救援工作</w:t>
      </w:r>
      <w:bookmarkEnd w:id="288"/>
      <w:r>
        <w:rPr>
          <w:rFonts w:ascii="Times New Roman" w:hAnsi="Times New Roman" w:eastAsia="仿宋_GB2312"/>
          <w:kern w:val="0"/>
          <w:sz w:val="32"/>
          <w:szCs w:val="32"/>
        </w:rPr>
        <w:t>。</w:t>
      </w:r>
    </w:p>
    <w:p w14:paraId="25E8E053">
      <w:pPr>
        <w:numPr>
          <w:ilvl w:val="2"/>
          <w:numId w:val="1"/>
        </w:numPr>
        <w:snapToGrid w:val="0"/>
        <w:spacing w:line="520" w:lineRule="exact"/>
        <w:ind w:left="0" w:firstLine="640" w:firstLineChars="200"/>
        <w:outlineLvl w:val="2"/>
        <w:rPr>
          <w:rFonts w:ascii="Times New Roman" w:hAnsi="Times New Roman" w:eastAsia="楷体_GB2312"/>
          <w:kern w:val="0"/>
          <w:sz w:val="32"/>
          <w:szCs w:val="32"/>
        </w:rPr>
      </w:pPr>
      <w:r>
        <w:rPr>
          <w:rFonts w:ascii="Times New Roman" w:hAnsi="Times New Roman" w:eastAsia="楷体_GB2312"/>
          <w:kern w:val="0"/>
          <w:sz w:val="32"/>
          <w:szCs w:val="32"/>
        </w:rPr>
        <w:t>应急指挥机构职责</w:t>
      </w:r>
    </w:p>
    <w:p w14:paraId="222454C4">
      <w:pPr>
        <w:snapToGrid w:val="0"/>
        <w:spacing w:line="520" w:lineRule="exact"/>
        <w:ind w:firstLine="640" w:firstLineChars="200"/>
        <w:rPr>
          <w:rFonts w:ascii="Times New Roman" w:hAnsi="Times New Roman" w:eastAsia="仿宋_GB2312"/>
          <w:kern w:val="0"/>
          <w:sz w:val="32"/>
          <w:szCs w:val="32"/>
        </w:rPr>
      </w:pPr>
      <w:bookmarkStart w:id="289" w:name="_Hlk39054144"/>
      <w:r>
        <w:rPr>
          <w:rFonts w:ascii="Times New Roman" w:hAnsi="Times New Roman" w:eastAsia="仿宋_GB2312"/>
          <w:kern w:val="0"/>
          <w:sz w:val="32"/>
          <w:szCs w:val="32"/>
        </w:rPr>
        <w:t>开发区内突发环境事件应急救援指挥工作由开发区突发环境事件应急指挥部承担，日常工作由市生态环境局开发区分局承担，其主要职责有：</w:t>
      </w:r>
    </w:p>
    <w:p w14:paraId="7290145B">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⑴</w:t>
      </w:r>
      <w:r>
        <w:rPr>
          <w:rFonts w:ascii="Times New Roman" w:hAnsi="Times New Roman" w:eastAsia="仿宋_GB2312"/>
          <w:kern w:val="0"/>
          <w:sz w:val="32"/>
          <w:szCs w:val="32"/>
        </w:rPr>
        <w:t>贯彻执行国家、当地政府、上级主管部门有关环境安全的方针、政策及规定；</w:t>
      </w:r>
    </w:p>
    <w:p w14:paraId="6797FE56">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⑵</w:t>
      </w:r>
      <w:r>
        <w:rPr>
          <w:rFonts w:ascii="Times New Roman" w:hAnsi="Times New Roman" w:eastAsia="仿宋_GB2312"/>
          <w:kern w:val="0"/>
          <w:sz w:val="32"/>
          <w:szCs w:val="32"/>
        </w:rPr>
        <w:t>调查、统计开发区内危险物质和重点环境风险源，负责建设并维护区内危险物质和环境风险源等信息管理库；</w:t>
      </w:r>
    </w:p>
    <w:p w14:paraId="099B8C5C">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⑶</w:t>
      </w:r>
      <w:r>
        <w:rPr>
          <w:rFonts w:ascii="Times New Roman" w:hAnsi="Times New Roman" w:eastAsia="仿宋_GB2312"/>
          <w:kern w:val="0"/>
          <w:sz w:val="32"/>
          <w:szCs w:val="32"/>
        </w:rPr>
        <w:t>监督制定、审定开发区及开发区内各企业单位的两级应急预案，要求企业单位针对重大环境风险源制订完善的环境应急预案，并与相关部门共同评估企业单位是否有足够的资源来实施应急预案，以确保环境应急预案所需的各种资源（人、财、物）能够及时、迅速到达和供应；</w:t>
      </w:r>
    </w:p>
    <w:p w14:paraId="7B3CDCBC">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⑷</w:t>
      </w:r>
      <w:r>
        <w:rPr>
          <w:rFonts w:ascii="Times New Roman" w:hAnsi="Times New Roman" w:eastAsia="仿宋_GB2312"/>
          <w:kern w:val="0"/>
          <w:sz w:val="32"/>
          <w:szCs w:val="32"/>
        </w:rPr>
        <w:t>检查、监督开发区及开发区内各企业单位应急救援指挥机构和突发环境事件应急救援队伍的组建，依据开发区条件和可能发生的突发环境事件类型，建立专业救援队伍，包括综合协调、应急监测、污染处置、应急保障、医疗救治、新闻宣传、社会维稳、调查评估等功能；明确环境应急时各级人员和各专业救援队伍的具体职责和任务，以便发生突发环境事件时，快速、有序、高效地开展应急救援行动；</w:t>
      </w:r>
    </w:p>
    <w:p w14:paraId="133A8A01">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⑸</w:t>
      </w:r>
      <w:r>
        <w:rPr>
          <w:rFonts w:ascii="Times New Roman" w:hAnsi="Times New Roman" w:eastAsia="仿宋_GB2312"/>
          <w:kern w:val="0"/>
          <w:sz w:val="32"/>
          <w:szCs w:val="32"/>
        </w:rPr>
        <w:t>负责开发区应急设施（备）（如堵漏器材、围堰、环境应急池、应急监测仪器、防护器材、救援器材和应急交通工具等）的建设，以及应急救援物资，特别是处理泄漏物、吸收污染物的物资（如活性炭、木屑和石灰等）的储备；检查、监督开发区内各企业单位应急救援设施（备）的日常维护和应急物资的储备；</w:t>
      </w:r>
    </w:p>
    <w:p w14:paraId="3A645FC9">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⑹</w:t>
      </w:r>
      <w:r>
        <w:rPr>
          <w:rFonts w:ascii="Times New Roman" w:hAnsi="Times New Roman" w:eastAsia="仿宋_GB2312"/>
          <w:kern w:val="0"/>
          <w:sz w:val="32"/>
          <w:szCs w:val="32"/>
        </w:rPr>
        <w:t>负责筹建并维护开发区突发环境事件应急指挥部专家咨询系统，建立专家名单及联系方式，并保持正常交流；在事件发生时组织专家开展应急救援咨询工作。专家咨询系统应由与突发环境事件相关的开发区内各企业负责人及相关领域专家组成；</w:t>
      </w:r>
    </w:p>
    <w:p w14:paraId="437A6E16">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⑺</w:t>
      </w:r>
      <w:r>
        <w:rPr>
          <w:rFonts w:ascii="Times New Roman" w:hAnsi="Times New Roman" w:eastAsia="仿宋_GB2312"/>
          <w:kern w:val="0"/>
          <w:sz w:val="32"/>
          <w:szCs w:val="32"/>
        </w:rPr>
        <w:t>负责组织预案的外部评审、审批与更新；</w:t>
      </w:r>
    </w:p>
    <w:p w14:paraId="475CF802">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⑻</w:t>
      </w:r>
      <w:r>
        <w:rPr>
          <w:rFonts w:ascii="Times New Roman" w:hAnsi="Times New Roman" w:eastAsia="仿宋_GB2312"/>
          <w:kern w:val="0"/>
          <w:sz w:val="32"/>
          <w:szCs w:val="32"/>
        </w:rPr>
        <w:t>定期组织开发区及开发区内各企业单位根据突发环境事件应急预案开展模拟演练，在演练中检验和完善应急预案；有计划地组织突发环境事件应急救援培训，向周边企业、村落提供本开发区有关危险物质特性、救援知识等的宣传材料；</w:t>
      </w:r>
    </w:p>
    <w:p w14:paraId="05E9A4C7">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⑼</w:t>
      </w:r>
      <w:r>
        <w:rPr>
          <w:rFonts w:ascii="Times New Roman" w:hAnsi="Times New Roman" w:eastAsia="仿宋_GB2312"/>
          <w:kern w:val="0"/>
          <w:sz w:val="32"/>
          <w:szCs w:val="32"/>
        </w:rPr>
        <w:t>发动组织环境应急志愿救援组织，并制定与周围具有一定环境应急能力的大型企业、其他园区或行政区域等的区域联防方案。汇总社会各种志愿援助组织以及区域联防组织的名称、电话、规模等；</w:t>
      </w:r>
    </w:p>
    <w:p w14:paraId="1E3DE510">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⑽</w:t>
      </w:r>
      <w:r>
        <w:rPr>
          <w:rFonts w:ascii="Times New Roman" w:hAnsi="Times New Roman" w:eastAsia="仿宋_GB2312"/>
          <w:kern w:val="0"/>
          <w:sz w:val="32"/>
          <w:szCs w:val="32"/>
        </w:rPr>
        <w:t>密切关注当地的气候条件、天气预报等情况，为环保部门做出正确的预测以及指挥部科学安排救援行动提供依据；</w:t>
      </w:r>
    </w:p>
    <w:p w14:paraId="676B0904">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⑾</w:t>
      </w:r>
      <w:r>
        <w:rPr>
          <w:rFonts w:ascii="Times New Roman" w:hAnsi="Times New Roman" w:eastAsia="仿宋_GB2312"/>
          <w:kern w:val="0"/>
          <w:sz w:val="32"/>
          <w:szCs w:val="32"/>
        </w:rPr>
        <w:t>在事件发生时，根据指挥部指令，批准本预案的启动与终止，确定现场指挥人员，协调事件现场有关工作；</w:t>
      </w:r>
    </w:p>
    <w:p w14:paraId="1DA485EF">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⑿</w:t>
      </w:r>
      <w:r>
        <w:rPr>
          <w:rFonts w:ascii="Times New Roman" w:hAnsi="Times New Roman" w:eastAsia="仿宋_GB2312"/>
          <w:kern w:val="0"/>
          <w:sz w:val="32"/>
          <w:szCs w:val="32"/>
        </w:rPr>
        <w:t>负责事件信息的收集整理，全面准确地掌握事件状况，提供动态信息，经总指挥同意后及时向上级应急指挥机构和开发区各级领导报告事件和应急救援进展情况，并负责可能受影响区域的通报工作；</w:t>
      </w:r>
    </w:p>
    <w:p w14:paraId="111834A4">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⒀</w:t>
      </w:r>
      <w:r>
        <w:rPr>
          <w:rFonts w:ascii="Times New Roman" w:hAnsi="Times New Roman" w:eastAsia="仿宋_GB2312"/>
          <w:kern w:val="0"/>
          <w:sz w:val="32"/>
          <w:szCs w:val="32"/>
        </w:rPr>
        <w:t>负责传达落实开发区应急指挥部、上级应急指挥机构关于应急救援的指示和批示；</w:t>
      </w:r>
    </w:p>
    <w:p w14:paraId="02226E96">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⒁</w:t>
      </w:r>
      <w:r>
        <w:rPr>
          <w:rFonts w:ascii="Times New Roman" w:hAnsi="Times New Roman" w:eastAsia="仿宋_GB2312"/>
          <w:kern w:val="0"/>
          <w:sz w:val="32"/>
          <w:szCs w:val="32"/>
        </w:rPr>
        <w:t>负责应急队伍的调动和资源配置；</w:t>
      </w:r>
    </w:p>
    <w:p w14:paraId="1B88A55A">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⒂</w:t>
      </w:r>
      <w:r>
        <w:rPr>
          <w:rFonts w:ascii="Times New Roman" w:hAnsi="Times New Roman" w:eastAsia="仿宋_GB2312"/>
          <w:kern w:val="0"/>
          <w:sz w:val="32"/>
          <w:szCs w:val="32"/>
        </w:rPr>
        <w:t>负责应急状态下请求外部救援力量的决策；</w:t>
      </w:r>
    </w:p>
    <w:p w14:paraId="05D6DDE7">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⒃</w:t>
      </w:r>
      <w:r>
        <w:rPr>
          <w:rFonts w:ascii="Times New Roman" w:hAnsi="Times New Roman" w:eastAsia="仿宋_GB2312"/>
          <w:kern w:val="0"/>
          <w:sz w:val="32"/>
          <w:szCs w:val="32"/>
        </w:rPr>
        <w:t>负责保护事件现场及相关数据；</w:t>
      </w:r>
    </w:p>
    <w:p w14:paraId="6888A578">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⒄</w:t>
      </w:r>
      <w:r>
        <w:rPr>
          <w:rFonts w:ascii="Times New Roman" w:hAnsi="Times New Roman" w:eastAsia="仿宋_GB2312"/>
          <w:kern w:val="0"/>
          <w:sz w:val="32"/>
          <w:szCs w:val="32"/>
        </w:rPr>
        <w:t>接受上级应急指挥机构的指令和调动，协助事件的处理；配合相关部门对环境进行修复、事件调查及总结</w:t>
      </w:r>
      <w:bookmarkEnd w:id="289"/>
      <w:r>
        <w:rPr>
          <w:rFonts w:ascii="Times New Roman" w:hAnsi="Times New Roman" w:eastAsia="仿宋_GB2312"/>
          <w:kern w:val="0"/>
          <w:sz w:val="32"/>
          <w:szCs w:val="32"/>
        </w:rPr>
        <w:t>。</w:t>
      </w:r>
    </w:p>
    <w:p w14:paraId="1140F208">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指挥部其他职能部门职责</w:t>
      </w:r>
    </w:p>
    <w:p w14:paraId="1D8F3765">
      <w:pPr>
        <w:snapToGrid w:val="0"/>
        <w:spacing w:line="520" w:lineRule="exact"/>
        <w:ind w:firstLine="640" w:firstLineChars="200"/>
        <w:rPr>
          <w:rFonts w:ascii="Times New Roman" w:hAnsi="Times New Roman" w:eastAsia="仿宋_GB2312"/>
          <w:kern w:val="0"/>
          <w:sz w:val="32"/>
          <w:szCs w:val="32"/>
        </w:rPr>
      </w:pPr>
      <w:bookmarkStart w:id="290" w:name="_Hlk39054193"/>
      <w:r>
        <w:rPr>
          <w:rFonts w:ascii="Times New Roman" w:hAnsi="Times New Roman" w:eastAsia="仿宋_GB2312"/>
          <w:kern w:val="0"/>
          <w:sz w:val="32"/>
          <w:szCs w:val="32"/>
        </w:rPr>
        <w:t>指挥部其他职能部门职责分别为：</w:t>
      </w:r>
    </w:p>
    <w:p w14:paraId="40719469">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区党政办公室：组织、协调灾民救助工作，知道转移安置灾民；协助管理、分配救灾款物并监督检查使用情况，制定救灾物资的储存、调拨和紧急供应工作。</w:t>
      </w:r>
    </w:p>
    <w:p w14:paraId="719EFEDA">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区组织宣传部：协调和强化突发环境事件预警和应急处置的信息发布工作；做好环境应急宣传报道，组织好舆情分析和舆论引导工作。</w:t>
      </w:r>
    </w:p>
    <w:p w14:paraId="1F4AC349">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经济发展局：负责调查核实统计企业的灾情，监督责任企业限产、停产方案实施；做好煤、油、气综合协调落实工作；负责邮政通讯、天然气、电力、电信等企业的抢险排危；协调保障电力、通信畅通；协调负责企业生产救灾急需物资。</w:t>
      </w:r>
    </w:p>
    <w:p w14:paraId="7A0D4643">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区财政局：在事权范围内落实突发环境事件应急处置资金，做好经费的审核、划拨及其监督管理工作。</w:t>
      </w:r>
    </w:p>
    <w:p w14:paraId="1B786155">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区住房和城乡建设局：协调做好突发环境事件的预警、预测工程的规划工作；负责市容市政、环卫设施的恢复工作。</w:t>
      </w:r>
    </w:p>
    <w:p w14:paraId="40BB550F">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区综合行政执法局：负责调集并组织使用起重机、挖掘机等抢排险设备；配合公安部门维持事故现场秩序；必要时，积极配合政府做好人员疏散工作。</w:t>
      </w:r>
    </w:p>
    <w:p w14:paraId="3C036CF3">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区应急管理局：负责因生产安全事故引发突发环境事件的调查、应急处置工作；参与涉及危险化学品突发环境事件的应急调查工作；提供因安全生产事故可能产生环境风险的生产经营单位的相关信息。</w:t>
      </w:r>
    </w:p>
    <w:p w14:paraId="380A7000">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市生态环境局开发区分局：牵头制定突发环境事件应急预案，承担突发环境事件应急指挥部的日常工作，协调突发环境事件与其它突发公共事件之间的衔接；建立和完善突发环境事件预警与应急指挥体系，组织环境应急培训和应急演练；负责搜集与事故原因及过程有关的信息资料，开展突发环境事件现场调查，对污染现场进行分析、定性、处理；分析主要污染物种类、浓度、污染程度和范围，并提出对现场应急处置和人员保护措施的建议；组织专家对抢险救援提供对策并提出建议；负责向上级环境行政主管部门汇报事故及救援情况；分析事故对周边生态环境的影响；建立突发环境事件档案；提出事故现场生态修复的建议。</w:t>
      </w:r>
    </w:p>
    <w:p w14:paraId="72882B8F">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连云港市公安消防支队开发区大队：接到指挥中心的报警信息后，如果属于物质泄漏事件，则组织对事故现场进行处理，堵塞泄漏；如发生火灾，则实施消防灭火预案，并负责事故现场伤员的救护。在需要外界支援的情况下，按开发区突发环境事件应急救援指挥中心的命令，负责实施区域灭火联防方案以及和其它地方消防力量的联络；负责实施事故现场、开发区以及开发区周围受影响区域的居民的安全疏散工作；负责事故现场及周边道路的交通管制及治安工作。</w:t>
      </w:r>
    </w:p>
    <w:p w14:paraId="5C029B8F">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各街道和企业设立相应的突发环境事件应急指挥机构，在开发区突发环境事件应急指挥部的领导下，组织开展本地区突发环境事件的预警和应急响应等工作。</w:t>
      </w:r>
    </w:p>
    <w:bookmarkEnd w:id="290"/>
    <w:p w14:paraId="59831AFC">
      <w:pPr>
        <w:numPr>
          <w:ilvl w:val="2"/>
          <w:numId w:val="1"/>
        </w:numPr>
        <w:snapToGrid w:val="0"/>
        <w:spacing w:line="56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专家组</w:t>
      </w:r>
    </w:p>
    <w:p w14:paraId="5082B051">
      <w:pPr>
        <w:snapToGrid w:val="0"/>
        <w:spacing w:line="560" w:lineRule="exact"/>
        <w:ind w:firstLine="640" w:firstLineChars="200"/>
        <w:rPr>
          <w:rFonts w:ascii="Times New Roman" w:hAnsi="Times New Roman" w:eastAsia="仿宋_GB2312"/>
          <w:kern w:val="0"/>
          <w:sz w:val="32"/>
          <w:szCs w:val="32"/>
        </w:rPr>
      </w:pPr>
      <w:bookmarkStart w:id="291" w:name="_Hlk39054226"/>
      <w:r>
        <w:rPr>
          <w:rFonts w:ascii="Times New Roman" w:hAnsi="Times New Roman" w:eastAsia="仿宋_GB2312"/>
          <w:kern w:val="0"/>
          <w:sz w:val="32"/>
          <w:szCs w:val="32"/>
        </w:rPr>
        <w:t>连云港经济技术开发区突发环境事件专家库基于江苏省环境应急与事故调查中心公布的江苏省环境应急专家库成员（苏环办[2019]364号），同时可按突发环境事件情形及事故处置需求聘请科研单位、高等院校、驻军、重点事业、企业单位环境监测、环境评估、环境保护、危险化学品、防化、水利水文、气象、船舶污染、损害索赔等相关专家，并将其中具备丰富事故处置经验的专家纳入区环境应急专家库。</w:t>
      </w:r>
    </w:p>
    <w:p w14:paraId="721C2D66">
      <w:pPr>
        <w:snapToGri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专家组职责为：</w:t>
      </w:r>
    </w:p>
    <w:p w14:paraId="13532158">
      <w:pPr>
        <w:snapToGri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（1）指导突发环境污染事故应急救援预案的编制及修改完善；</w:t>
      </w:r>
    </w:p>
    <w:p w14:paraId="7B4B916A">
      <w:pPr>
        <w:snapToGri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（2）掌握连云港经济技术开发区内重大危险源的分布情况，了解国内外的有关技术信息、进展情况和形势动态，提出相应的对策和意见；</w:t>
      </w:r>
    </w:p>
    <w:p w14:paraId="25FC8647">
      <w:pPr>
        <w:snapToGri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（3）对事故的危害范围、发展趋势做出科学评估，为应急领导组的决策和指挥提供科学依据；</w:t>
      </w:r>
    </w:p>
    <w:p w14:paraId="14013D46">
      <w:pPr>
        <w:snapToGri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（4）参与污染程度、危害范围、事件等级的判定，对污染区域的警报设立与解除等重大防护措施的决策提供技术依据；</w:t>
      </w:r>
    </w:p>
    <w:p w14:paraId="4D81A0E8">
      <w:pPr>
        <w:snapToGri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（5）指导各应急小组进行现场处置；</w:t>
      </w:r>
    </w:p>
    <w:p w14:paraId="231F841B">
      <w:pPr>
        <w:snapToGri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（6）负责对事故现场应急处置工作以及环境受污染程度的评估工作以及环境恢复方案的制定。</w:t>
      </w:r>
    </w:p>
    <w:p w14:paraId="33774AA8">
      <w:pPr>
        <w:snapToGri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连云港经济技术开发区环境应急专家库详见表5.2-1</w:t>
      </w:r>
      <w:bookmarkEnd w:id="291"/>
      <w:r>
        <w:rPr>
          <w:rFonts w:ascii="Times New Roman" w:hAnsi="Times New Roman" w:eastAsia="仿宋_GB2312"/>
          <w:kern w:val="0"/>
          <w:sz w:val="32"/>
          <w:szCs w:val="32"/>
        </w:rPr>
        <w:t>。</w:t>
      </w:r>
    </w:p>
    <w:p w14:paraId="56682D26">
      <w:pPr>
        <w:snapToGrid w:val="0"/>
        <w:spacing w:line="600" w:lineRule="exact"/>
        <w:jc w:val="center"/>
        <w:rPr>
          <w:rFonts w:ascii="Times New Roman" w:hAnsi="Times New Roman" w:eastAsia="仿宋_GB2312"/>
          <w:sz w:val="32"/>
          <w:szCs w:val="32"/>
        </w:rPr>
      </w:pPr>
      <w:r>
        <w:rPr>
          <w:rFonts w:ascii="Times New Roman" w:hAnsi="Times New Roman" w:eastAsia="仿宋_GB2312"/>
          <w:sz w:val="32"/>
          <w:szCs w:val="32"/>
        </w:rPr>
        <w:t>表5.2-1   连云港经济技术开发区环境应急专家名单（排名按姓氏拼音）</w:t>
      </w:r>
    </w:p>
    <w:tbl>
      <w:tblPr>
        <w:tblStyle w:val="23"/>
        <w:tblW w:w="507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302"/>
        <w:gridCol w:w="3176"/>
        <w:gridCol w:w="1733"/>
        <w:gridCol w:w="2207"/>
      </w:tblGrid>
      <w:tr w14:paraId="24188B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3E7DAE1E">
            <w:pPr>
              <w:widowControl/>
              <w:adjustRightInd w:val="0"/>
              <w:snapToGrid w:val="0"/>
              <w:jc w:val="center"/>
              <w:rPr>
                <w:rFonts w:ascii="Times New Roman" w:hAnsi="Times New Roman" w:eastAsia="仿宋"/>
                <w:bCs/>
                <w:kern w:val="0"/>
                <w:sz w:val="32"/>
                <w:szCs w:val="32"/>
              </w:rPr>
            </w:pPr>
            <w:r>
              <w:rPr>
                <w:rFonts w:ascii="Times New Roman" w:hAnsi="Times New Roman" w:eastAsia="仿宋_GB2312"/>
                <w:kern w:val="0"/>
                <w:sz w:val="32"/>
                <w:szCs w:val="32"/>
                <w:lang w:bidi="ar"/>
              </w:rPr>
              <w:t>序号</w:t>
            </w:r>
          </w:p>
        </w:tc>
        <w:tc>
          <w:tcPr>
            <w:tcW w:w="708" w:type="pct"/>
            <w:tcBorders>
              <w:top w:val="single" w:color="auto" w:sz="4" w:space="0"/>
              <w:left w:val="single" w:color="auto" w:sz="4" w:space="0"/>
              <w:bottom w:val="single" w:color="auto" w:sz="4" w:space="0"/>
              <w:right w:val="single" w:color="auto" w:sz="4" w:space="0"/>
            </w:tcBorders>
            <w:vAlign w:val="center"/>
          </w:tcPr>
          <w:p w14:paraId="006B0D01">
            <w:pPr>
              <w:widowControl/>
              <w:adjustRightInd w:val="0"/>
              <w:snapToGrid w:val="0"/>
              <w:jc w:val="center"/>
              <w:rPr>
                <w:rFonts w:ascii="Times New Roman" w:hAnsi="Times New Roman" w:eastAsia="仿宋"/>
                <w:kern w:val="0"/>
                <w:sz w:val="32"/>
                <w:szCs w:val="32"/>
              </w:rPr>
            </w:pPr>
            <w:r>
              <w:rPr>
                <w:rFonts w:ascii="Times New Roman" w:hAnsi="Times New Roman" w:eastAsia="仿宋_GB2312"/>
                <w:kern w:val="0"/>
                <w:sz w:val="32"/>
                <w:szCs w:val="32"/>
                <w:lang w:bidi="ar"/>
              </w:rPr>
              <w:t>姓名</w:t>
            </w:r>
          </w:p>
        </w:tc>
        <w:tc>
          <w:tcPr>
            <w:tcW w:w="1727" w:type="pct"/>
            <w:tcBorders>
              <w:top w:val="single" w:color="auto" w:sz="4" w:space="0"/>
              <w:left w:val="single" w:color="auto" w:sz="4" w:space="0"/>
              <w:bottom w:val="single" w:color="auto" w:sz="4" w:space="0"/>
              <w:right w:val="single" w:color="auto" w:sz="4" w:space="0"/>
            </w:tcBorders>
            <w:vAlign w:val="center"/>
          </w:tcPr>
          <w:p w14:paraId="3AC6DBD4">
            <w:pPr>
              <w:widowControl/>
              <w:adjustRightInd w:val="0"/>
              <w:snapToGrid w:val="0"/>
              <w:jc w:val="center"/>
              <w:rPr>
                <w:rFonts w:ascii="Times New Roman" w:hAnsi="Times New Roman" w:eastAsia="仿宋"/>
                <w:kern w:val="0"/>
                <w:sz w:val="32"/>
                <w:szCs w:val="32"/>
              </w:rPr>
            </w:pPr>
            <w:r>
              <w:rPr>
                <w:rFonts w:ascii="Times New Roman" w:hAnsi="Times New Roman" w:eastAsia="仿宋_GB2312"/>
                <w:kern w:val="0"/>
                <w:sz w:val="32"/>
                <w:szCs w:val="32"/>
                <w:lang w:bidi="ar"/>
              </w:rPr>
              <w:t>单位</w:t>
            </w:r>
          </w:p>
        </w:tc>
        <w:tc>
          <w:tcPr>
            <w:tcW w:w="942" w:type="pct"/>
            <w:tcBorders>
              <w:top w:val="single" w:color="auto" w:sz="4" w:space="0"/>
              <w:left w:val="single" w:color="auto" w:sz="4" w:space="0"/>
              <w:bottom w:val="single" w:color="auto" w:sz="4" w:space="0"/>
              <w:right w:val="single" w:color="auto" w:sz="4" w:space="0"/>
            </w:tcBorders>
            <w:vAlign w:val="center"/>
          </w:tcPr>
          <w:p w14:paraId="74C5A07C">
            <w:pPr>
              <w:widowControl/>
              <w:adjustRightInd w:val="0"/>
              <w:snapToGrid w:val="0"/>
              <w:jc w:val="center"/>
              <w:rPr>
                <w:rFonts w:ascii="Times New Roman" w:hAnsi="Times New Roman" w:eastAsia="仿宋"/>
                <w:kern w:val="0"/>
                <w:sz w:val="32"/>
                <w:szCs w:val="32"/>
              </w:rPr>
            </w:pPr>
            <w:r>
              <w:rPr>
                <w:rFonts w:ascii="Times New Roman" w:hAnsi="Times New Roman" w:eastAsia="仿宋_GB2312"/>
                <w:kern w:val="0"/>
                <w:sz w:val="32"/>
                <w:szCs w:val="32"/>
              </w:rPr>
              <w:t>资质职称</w:t>
            </w:r>
          </w:p>
        </w:tc>
        <w:tc>
          <w:tcPr>
            <w:tcW w:w="1200" w:type="pct"/>
            <w:tcBorders>
              <w:top w:val="single" w:color="auto" w:sz="4" w:space="0"/>
              <w:left w:val="single" w:color="auto" w:sz="4" w:space="0"/>
              <w:bottom w:val="single" w:color="auto" w:sz="4" w:space="0"/>
            </w:tcBorders>
            <w:vAlign w:val="center"/>
          </w:tcPr>
          <w:p w14:paraId="628E88ED">
            <w:pPr>
              <w:widowControl/>
              <w:adjustRightInd w:val="0"/>
              <w:snapToGrid w:val="0"/>
              <w:jc w:val="center"/>
              <w:rPr>
                <w:rFonts w:ascii="Times New Roman" w:hAnsi="Times New Roman" w:eastAsia="仿宋_GB2312"/>
                <w:kern w:val="0"/>
                <w:sz w:val="32"/>
                <w:szCs w:val="32"/>
              </w:rPr>
            </w:pPr>
            <w:r>
              <w:rPr>
                <w:rFonts w:ascii="Times New Roman" w:hAnsi="Times New Roman" w:eastAsia="仿宋_GB2312"/>
                <w:kern w:val="0"/>
                <w:sz w:val="32"/>
                <w:szCs w:val="32"/>
                <w:lang w:bidi="ar"/>
              </w:rPr>
              <w:t>手机</w:t>
            </w:r>
          </w:p>
        </w:tc>
      </w:tr>
      <w:tr w14:paraId="7969F9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4AA5DCEE">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1</w:t>
            </w:r>
          </w:p>
        </w:tc>
        <w:tc>
          <w:tcPr>
            <w:tcW w:w="708" w:type="pct"/>
            <w:tcBorders>
              <w:top w:val="single" w:color="auto" w:sz="4" w:space="0"/>
              <w:left w:val="single" w:color="auto" w:sz="4" w:space="0"/>
              <w:bottom w:val="single" w:color="auto" w:sz="4" w:space="0"/>
              <w:right w:val="single" w:color="auto" w:sz="4" w:space="0"/>
            </w:tcBorders>
            <w:vAlign w:val="center"/>
          </w:tcPr>
          <w:p w14:paraId="3E08B5F3">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陈  程</w:t>
            </w:r>
          </w:p>
        </w:tc>
        <w:tc>
          <w:tcPr>
            <w:tcW w:w="1727" w:type="pct"/>
            <w:tcBorders>
              <w:top w:val="single" w:color="auto" w:sz="4" w:space="0"/>
              <w:left w:val="single" w:color="auto" w:sz="4" w:space="0"/>
              <w:bottom w:val="single" w:color="auto" w:sz="4" w:space="0"/>
              <w:right w:val="single" w:color="auto" w:sz="4" w:space="0"/>
            </w:tcBorders>
            <w:vAlign w:val="center"/>
          </w:tcPr>
          <w:p w14:paraId="58044E81">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江苏省连云港环境监测中心</w:t>
            </w:r>
          </w:p>
        </w:tc>
        <w:tc>
          <w:tcPr>
            <w:tcW w:w="942" w:type="pct"/>
            <w:tcBorders>
              <w:top w:val="single" w:color="auto" w:sz="4" w:space="0"/>
              <w:left w:val="single" w:color="auto" w:sz="4" w:space="0"/>
              <w:bottom w:val="single" w:color="auto" w:sz="4" w:space="0"/>
              <w:right w:val="single" w:color="auto" w:sz="4" w:space="0"/>
            </w:tcBorders>
            <w:vAlign w:val="center"/>
          </w:tcPr>
          <w:p w14:paraId="06184EB9">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14:paraId="2CFBEB37">
            <w:pPr>
              <w:widowControl/>
              <w:adjustRightInd w:val="0"/>
              <w:snapToGrid w:val="0"/>
              <w:jc w:val="center"/>
              <w:rPr>
                <w:rFonts w:ascii="Times New Roman" w:hAnsi="Times New Roman" w:eastAsia="仿宋_GB2312"/>
                <w:bCs/>
                <w:kern w:val="0"/>
                <w:sz w:val="32"/>
                <w:szCs w:val="32"/>
                <w:lang w:bidi="ar"/>
              </w:rPr>
            </w:pPr>
            <w:r>
              <w:rPr>
                <w:rFonts w:ascii="Times New Roman" w:hAnsi="Times New Roman" w:eastAsia="仿宋_GB2312"/>
                <w:sz w:val="32"/>
                <w:szCs w:val="32"/>
                <w:lang w:bidi="ar"/>
              </w:rPr>
              <w:t>15805133099</w:t>
            </w:r>
          </w:p>
        </w:tc>
      </w:tr>
      <w:tr w14:paraId="3A0E38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7891ED14">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2</w:t>
            </w:r>
          </w:p>
        </w:tc>
        <w:tc>
          <w:tcPr>
            <w:tcW w:w="708" w:type="pct"/>
            <w:tcBorders>
              <w:top w:val="single" w:color="auto" w:sz="4" w:space="0"/>
              <w:left w:val="single" w:color="auto" w:sz="4" w:space="0"/>
              <w:bottom w:val="single" w:color="auto" w:sz="4" w:space="0"/>
              <w:right w:val="single" w:color="auto" w:sz="4" w:space="0"/>
            </w:tcBorders>
            <w:vAlign w:val="center"/>
          </w:tcPr>
          <w:p w14:paraId="27561989">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曹广林</w:t>
            </w:r>
          </w:p>
        </w:tc>
        <w:tc>
          <w:tcPr>
            <w:tcW w:w="1727" w:type="pct"/>
            <w:tcBorders>
              <w:top w:val="single" w:color="auto" w:sz="4" w:space="0"/>
              <w:left w:val="single" w:color="auto" w:sz="4" w:space="0"/>
              <w:bottom w:val="single" w:color="auto" w:sz="4" w:space="0"/>
              <w:right w:val="single" w:color="auto" w:sz="4" w:space="0"/>
            </w:tcBorders>
            <w:vAlign w:val="center"/>
          </w:tcPr>
          <w:p w14:paraId="3FE71921">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江苏智盛环境科技有限公司</w:t>
            </w:r>
          </w:p>
        </w:tc>
        <w:tc>
          <w:tcPr>
            <w:tcW w:w="942" w:type="pct"/>
            <w:tcBorders>
              <w:top w:val="single" w:color="auto" w:sz="4" w:space="0"/>
              <w:left w:val="single" w:color="auto" w:sz="4" w:space="0"/>
              <w:bottom w:val="single" w:color="auto" w:sz="4" w:space="0"/>
              <w:right w:val="single" w:color="auto" w:sz="4" w:space="0"/>
            </w:tcBorders>
            <w:vAlign w:val="center"/>
          </w:tcPr>
          <w:p w14:paraId="5266BB65">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14:paraId="2B68C0F0">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sz w:val="32"/>
                <w:szCs w:val="32"/>
                <w:lang w:bidi="ar"/>
              </w:rPr>
              <w:t>13851285918</w:t>
            </w:r>
          </w:p>
        </w:tc>
      </w:tr>
      <w:tr w14:paraId="0A1BFB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28497BFA">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3</w:t>
            </w:r>
          </w:p>
        </w:tc>
        <w:tc>
          <w:tcPr>
            <w:tcW w:w="708" w:type="pct"/>
            <w:tcBorders>
              <w:top w:val="single" w:color="auto" w:sz="4" w:space="0"/>
              <w:left w:val="single" w:color="auto" w:sz="4" w:space="0"/>
              <w:bottom w:val="single" w:color="auto" w:sz="4" w:space="0"/>
              <w:right w:val="single" w:color="auto" w:sz="4" w:space="0"/>
            </w:tcBorders>
            <w:vAlign w:val="center"/>
          </w:tcPr>
          <w:p w14:paraId="4D685694">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董军玲（女）</w:t>
            </w:r>
          </w:p>
        </w:tc>
        <w:tc>
          <w:tcPr>
            <w:tcW w:w="1727" w:type="pct"/>
            <w:tcBorders>
              <w:top w:val="single" w:color="auto" w:sz="4" w:space="0"/>
              <w:left w:val="single" w:color="auto" w:sz="4" w:space="0"/>
              <w:bottom w:val="single" w:color="auto" w:sz="4" w:space="0"/>
              <w:right w:val="single" w:color="auto" w:sz="4" w:space="0"/>
            </w:tcBorders>
            <w:vAlign w:val="center"/>
          </w:tcPr>
          <w:p w14:paraId="4D5998CD">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江苏智盛环境科技有限公司</w:t>
            </w:r>
          </w:p>
        </w:tc>
        <w:tc>
          <w:tcPr>
            <w:tcW w:w="942" w:type="pct"/>
            <w:tcBorders>
              <w:top w:val="single" w:color="auto" w:sz="4" w:space="0"/>
              <w:left w:val="single" w:color="auto" w:sz="4" w:space="0"/>
              <w:bottom w:val="single" w:color="auto" w:sz="4" w:space="0"/>
              <w:right w:val="single" w:color="auto" w:sz="4" w:space="0"/>
            </w:tcBorders>
            <w:vAlign w:val="center"/>
          </w:tcPr>
          <w:p w14:paraId="60E84BD0">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14:paraId="572D0C16">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sz w:val="32"/>
                <w:szCs w:val="32"/>
                <w:lang w:bidi="ar"/>
              </w:rPr>
              <w:t>18951253298</w:t>
            </w:r>
          </w:p>
        </w:tc>
      </w:tr>
      <w:tr w14:paraId="698408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4A6EE404">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bCs/>
                <w:kern w:val="0"/>
                <w:sz w:val="32"/>
                <w:szCs w:val="32"/>
                <w:lang w:bidi="ar"/>
              </w:rPr>
              <w:t>4</w:t>
            </w:r>
          </w:p>
        </w:tc>
        <w:tc>
          <w:tcPr>
            <w:tcW w:w="708" w:type="pct"/>
            <w:tcBorders>
              <w:top w:val="single" w:color="auto" w:sz="4" w:space="0"/>
              <w:left w:val="single" w:color="auto" w:sz="4" w:space="0"/>
              <w:bottom w:val="single" w:color="auto" w:sz="4" w:space="0"/>
              <w:right w:val="single" w:color="auto" w:sz="4" w:space="0"/>
            </w:tcBorders>
            <w:vAlign w:val="center"/>
          </w:tcPr>
          <w:p w14:paraId="0A3C0ED6">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贺心然</w:t>
            </w:r>
          </w:p>
        </w:tc>
        <w:tc>
          <w:tcPr>
            <w:tcW w:w="1727" w:type="pct"/>
            <w:tcBorders>
              <w:top w:val="single" w:color="auto" w:sz="4" w:space="0"/>
              <w:left w:val="single" w:color="auto" w:sz="4" w:space="0"/>
              <w:bottom w:val="single" w:color="auto" w:sz="4" w:space="0"/>
              <w:right w:val="single" w:color="auto" w:sz="4" w:space="0"/>
            </w:tcBorders>
            <w:vAlign w:val="center"/>
          </w:tcPr>
          <w:p w14:paraId="003B0411">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江苏省连云港环境监测中心</w:t>
            </w:r>
          </w:p>
        </w:tc>
        <w:tc>
          <w:tcPr>
            <w:tcW w:w="942" w:type="pct"/>
            <w:tcBorders>
              <w:top w:val="single" w:color="auto" w:sz="4" w:space="0"/>
              <w:left w:val="single" w:color="auto" w:sz="4" w:space="0"/>
              <w:bottom w:val="single" w:color="auto" w:sz="4" w:space="0"/>
              <w:right w:val="single" w:color="auto" w:sz="4" w:space="0"/>
            </w:tcBorders>
            <w:vAlign w:val="center"/>
          </w:tcPr>
          <w:p w14:paraId="3EE4912B">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14:paraId="615D8CF8">
            <w:pPr>
              <w:widowControl/>
              <w:adjustRightInd w:val="0"/>
              <w:snapToGrid w:val="0"/>
              <w:jc w:val="center"/>
              <w:rPr>
                <w:rFonts w:ascii="Times New Roman" w:hAnsi="Times New Roman" w:eastAsia="仿宋_GB2312"/>
                <w:bCs/>
                <w:kern w:val="0"/>
                <w:sz w:val="32"/>
                <w:szCs w:val="32"/>
                <w:lang w:bidi="ar"/>
              </w:rPr>
            </w:pPr>
            <w:r>
              <w:rPr>
                <w:rFonts w:ascii="Times New Roman" w:hAnsi="Times New Roman" w:eastAsia="仿宋_GB2312"/>
                <w:kern w:val="0"/>
                <w:sz w:val="32"/>
                <w:szCs w:val="32"/>
                <w:lang w:bidi="ar"/>
              </w:rPr>
              <w:t>13815655979</w:t>
            </w:r>
          </w:p>
        </w:tc>
      </w:tr>
      <w:tr w14:paraId="6B6064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462B0F15">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bCs/>
                <w:kern w:val="0"/>
                <w:sz w:val="32"/>
                <w:szCs w:val="32"/>
                <w:lang w:bidi="ar"/>
              </w:rPr>
              <w:t>5</w:t>
            </w:r>
          </w:p>
        </w:tc>
        <w:tc>
          <w:tcPr>
            <w:tcW w:w="708" w:type="pct"/>
            <w:tcBorders>
              <w:top w:val="single" w:color="auto" w:sz="4" w:space="0"/>
              <w:left w:val="single" w:color="auto" w:sz="4" w:space="0"/>
              <w:bottom w:val="single" w:color="auto" w:sz="4" w:space="0"/>
              <w:right w:val="single" w:color="auto" w:sz="4" w:space="0"/>
            </w:tcBorders>
            <w:vAlign w:val="center"/>
          </w:tcPr>
          <w:p w14:paraId="24010759">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姜  玲</w:t>
            </w:r>
          </w:p>
        </w:tc>
        <w:tc>
          <w:tcPr>
            <w:tcW w:w="1727" w:type="pct"/>
            <w:tcBorders>
              <w:top w:val="single" w:color="auto" w:sz="4" w:space="0"/>
              <w:left w:val="single" w:color="auto" w:sz="4" w:space="0"/>
              <w:bottom w:val="single" w:color="auto" w:sz="4" w:space="0"/>
              <w:right w:val="single" w:color="auto" w:sz="4" w:space="0"/>
            </w:tcBorders>
            <w:vAlign w:val="center"/>
          </w:tcPr>
          <w:p w14:paraId="5B317A71">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江苏省连云港环境监测中心</w:t>
            </w:r>
          </w:p>
        </w:tc>
        <w:tc>
          <w:tcPr>
            <w:tcW w:w="942" w:type="pct"/>
            <w:tcBorders>
              <w:top w:val="single" w:color="auto" w:sz="4" w:space="0"/>
              <w:left w:val="single" w:color="auto" w:sz="4" w:space="0"/>
              <w:bottom w:val="single" w:color="auto" w:sz="4" w:space="0"/>
              <w:right w:val="single" w:color="auto" w:sz="4" w:space="0"/>
            </w:tcBorders>
            <w:vAlign w:val="center"/>
          </w:tcPr>
          <w:p w14:paraId="579273E3">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14:paraId="4E717A2E">
            <w:pPr>
              <w:widowControl/>
              <w:adjustRightInd w:val="0"/>
              <w:snapToGrid w:val="0"/>
              <w:jc w:val="center"/>
              <w:rPr>
                <w:rFonts w:ascii="Times New Roman" w:hAnsi="Times New Roman" w:eastAsia="仿宋_GB2312"/>
                <w:kern w:val="0"/>
                <w:sz w:val="32"/>
                <w:szCs w:val="32"/>
                <w:lang w:bidi="ar"/>
              </w:rPr>
            </w:pPr>
            <w:r>
              <w:rPr>
                <w:rFonts w:ascii="Times New Roman" w:hAnsi="Times New Roman" w:eastAsia="仿宋_GB2312"/>
                <w:sz w:val="32"/>
                <w:szCs w:val="32"/>
                <w:lang w:bidi="ar"/>
              </w:rPr>
              <w:t>13815665138</w:t>
            </w:r>
          </w:p>
        </w:tc>
      </w:tr>
      <w:tr w14:paraId="0E53C891">
        <w:tblPrEx>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5505D46A">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6</w:t>
            </w:r>
          </w:p>
        </w:tc>
        <w:tc>
          <w:tcPr>
            <w:tcW w:w="708" w:type="pct"/>
            <w:tcBorders>
              <w:top w:val="single" w:color="auto" w:sz="4" w:space="0"/>
              <w:left w:val="single" w:color="auto" w:sz="4" w:space="0"/>
              <w:bottom w:val="single" w:color="auto" w:sz="4" w:space="0"/>
              <w:right w:val="single" w:color="auto" w:sz="4" w:space="0"/>
            </w:tcBorders>
            <w:vAlign w:val="center"/>
          </w:tcPr>
          <w:p w14:paraId="3EFA0259">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金中华</w:t>
            </w:r>
          </w:p>
        </w:tc>
        <w:tc>
          <w:tcPr>
            <w:tcW w:w="1727" w:type="pct"/>
            <w:tcBorders>
              <w:top w:val="single" w:color="auto" w:sz="4" w:space="0"/>
              <w:left w:val="single" w:color="auto" w:sz="4" w:space="0"/>
              <w:bottom w:val="single" w:color="auto" w:sz="4" w:space="0"/>
              <w:right w:val="single" w:color="auto" w:sz="4" w:space="0"/>
            </w:tcBorders>
            <w:vAlign w:val="center"/>
          </w:tcPr>
          <w:p w14:paraId="194ED8DD">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灌云县环境监测站</w:t>
            </w:r>
          </w:p>
        </w:tc>
        <w:tc>
          <w:tcPr>
            <w:tcW w:w="942" w:type="pct"/>
            <w:tcBorders>
              <w:top w:val="single" w:color="auto" w:sz="4" w:space="0"/>
              <w:left w:val="single" w:color="auto" w:sz="4" w:space="0"/>
              <w:bottom w:val="single" w:color="auto" w:sz="4" w:space="0"/>
              <w:right w:val="single" w:color="auto" w:sz="4" w:space="0"/>
            </w:tcBorders>
            <w:vAlign w:val="center"/>
          </w:tcPr>
          <w:p w14:paraId="3CE5E3C3">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14:paraId="62C664C5">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sz w:val="32"/>
                <w:szCs w:val="32"/>
                <w:lang w:bidi="ar"/>
              </w:rPr>
              <w:t>13815610589</w:t>
            </w:r>
          </w:p>
        </w:tc>
      </w:tr>
      <w:tr w14:paraId="33C29A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1526A1C1">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7</w:t>
            </w:r>
          </w:p>
        </w:tc>
        <w:tc>
          <w:tcPr>
            <w:tcW w:w="708" w:type="pct"/>
            <w:tcBorders>
              <w:top w:val="single" w:color="auto" w:sz="4" w:space="0"/>
              <w:left w:val="single" w:color="auto" w:sz="4" w:space="0"/>
              <w:bottom w:val="single" w:color="auto" w:sz="4" w:space="0"/>
              <w:right w:val="single" w:color="auto" w:sz="4" w:space="0"/>
            </w:tcBorders>
            <w:vAlign w:val="center"/>
          </w:tcPr>
          <w:p w14:paraId="687E9A77">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李  军</w:t>
            </w:r>
          </w:p>
        </w:tc>
        <w:tc>
          <w:tcPr>
            <w:tcW w:w="1727" w:type="pct"/>
            <w:tcBorders>
              <w:top w:val="single" w:color="auto" w:sz="4" w:space="0"/>
              <w:left w:val="single" w:color="auto" w:sz="4" w:space="0"/>
              <w:bottom w:val="single" w:color="auto" w:sz="4" w:space="0"/>
              <w:right w:val="single" w:color="auto" w:sz="4" w:space="0"/>
            </w:tcBorders>
            <w:vAlign w:val="center"/>
          </w:tcPr>
          <w:p w14:paraId="1F3AF24C">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kern w:val="0"/>
                <w:sz w:val="32"/>
                <w:szCs w:val="32"/>
                <w:lang w:bidi="ar"/>
              </w:rPr>
              <w:t>江苏省连云港环境监测中心</w:t>
            </w:r>
          </w:p>
        </w:tc>
        <w:tc>
          <w:tcPr>
            <w:tcW w:w="942" w:type="pct"/>
            <w:tcBorders>
              <w:top w:val="single" w:color="auto" w:sz="4" w:space="0"/>
              <w:left w:val="single" w:color="auto" w:sz="4" w:space="0"/>
              <w:bottom w:val="single" w:color="auto" w:sz="4" w:space="0"/>
              <w:right w:val="single" w:color="auto" w:sz="4" w:space="0"/>
            </w:tcBorders>
            <w:vAlign w:val="center"/>
          </w:tcPr>
          <w:p w14:paraId="455272D6">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kern w:val="0"/>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14:paraId="7262B274">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kern w:val="0"/>
                <w:sz w:val="32"/>
                <w:szCs w:val="32"/>
                <w:lang w:bidi="ar"/>
              </w:rPr>
              <w:t>13675299290</w:t>
            </w:r>
          </w:p>
        </w:tc>
      </w:tr>
      <w:tr w14:paraId="52AC9D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4F3534A1">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8</w:t>
            </w:r>
          </w:p>
        </w:tc>
        <w:tc>
          <w:tcPr>
            <w:tcW w:w="708" w:type="pct"/>
            <w:tcBorders>
              <w:top w:val="single" w:color="auto" w:sz="4" w:space="0"/>
              <w:left w:val="single" w:color="auto" w:sz="4" w:space="0"/>
              <w:bottom w:val="single" w:color="auto" w:sz="4" w:space="0"/>
              <w:right w:val="single" w:color="auto" w:sz="4" w:space="0"/>
            </w:tcBorders>
            <w:vAlign w:val="center"/>
          </w:tcPr>
          <w:p w14:paraId="7A26CEC0">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柳  然</w:t>
            </w:r>
          </w:p>
        </w:tc>
        <w:tc>
          <w:tcPr>
            <w:tcW w:w="1727" w:type="pct"/>
            <w:tcBorders>
              <w:top w:val="single" w:color="auto" w:sz="4" w:space="0"/>
              <w:left w:val="single" w:color="auto" w:sz="4" w:space="0"/>
              <w:bottom w:val="single" w:color="auto" w:sz="4" w:space="0"/>
              <w:right w:val="single" w:color="auto" w:sz="4" w:space="0"/>
            </w:tcBorders>
            <w:vAlign w:val="center"/>
          </w:tcPr>
          <w:p w14:paraId="1058981E">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江苏智盛环境科技有限公司</w:t>
            </w:r>
          </w:p>
        </w:tc>
        <w:tc>
          <w:tcPr>
            <w:tcW w:w="942" w:type="pct"/>
            <w:tcBorders>
              <w:top w:val="single" w:color="auto" w:sz="4" w:space="0"/>
              <w:left w:val="single" w:color="auto" w:sz="4" w:space="0"/>
              <w:bottom w:val="single" w:color="auto" w:sz="4" w:space="0"/>
              <w:right w:val="single" w:color="auto" w:sz="4" w:space="0"/>
            </w:tcBorders>
            <w:vAlign w:val="center"/>
          </w:tcPr>
          <w:p w14:paraId="4A37306F">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14:paraId="0CBAE43C">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kern w:val="0"/>
                <w:sz w:val="32"/>
                <w:szCs w:val="32"/>
                <w:lang w:bidi="ar"/>
              </w:rPr>
              <w:t>18961337655</w:t>
            </w:r>
          </w:p>
        </w:tc>
      </w:tr>
      <w:tr w14:paraId="6E1587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0661AC45">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9</w:t>
            </w:r>
          </w:p>
        </w:tc>
        <w:tc>
          <w:tcPr>
            <w:tcW w:w="708" w:type="pct"/>
            <w:tcBorders>
              <w:top w:val="single" w:color="auto" w:sz="4" w:space="0"/>
              <w:left w:val="single" w:color="auto" w:sz="4" w:space="0"/>
              <w:bottom w:val="single" w:color="auto" w:sz="4" w:space="0"/>
              <w:right w:val="single" w:color="auto" w:sz="4" w:space="0"/>
            </w:tcBorders>
            <w:vAlign w:val="center"/>
          </w:tcPr>
          <w:p w14:paraId="14154BFE">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路学军</w:t>
            </w:r>
          </w:p>
        </w:tc>
        <w:tc>
          <w:tcPr>
            <w:tcW w:w="1727" w:type="pct"/>
            <w:tcBorders>
              <w:top w:val="single" w:color="auto" w:sz="4" w:space="0"/>
              <w:left w:val="single" w:color="auto" w:sz="4" w:space="0"/>
              <w:bottom w:val="single" w:color="auto" w:sz="4" w:space="0"/>
              <w:right w:val="single" w:color="auto" w:sz="4" w:space="0"/>
            </w:tcBorders>
            <w:vAlign w:val="center"/>
          </w:tcPr>
          <w:p w14:paraId="508C81CF">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江苏省连云港环境监测中心</w:t>
            </w:r>
          </w:p>
        </w:tc>
        <w:tc>
          <w:tcPr>
            <w:tcW w:w="942" w:type="pct"/>
            <w:tcBorders>
              <w:top w:val="single" w:color="auto" w:sz="4" w:space="0"/>
              <w:left w:val="single" w:color="auto" w:sz="4" w:space="0"/>
              <w:bottom w:val="single" w:color="auto" w:sz="4" w:space="0"/>
              <w:right w:val="single" w:color="auto" w:sz="4" w:space="0"/>
            </w:tcBorders>
            <w:vAlign w:val="center"/>
          </w:tcPr>
          <w:p w14:paraId="2E975DB1">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14:paraId="5941C008">
            <w:pPr>
              <w:widowControl/>
              <w:adjustRightInd w:val="0"/>
              <w:snapToGrid w:val="0"/>
              <w:jc w:val="center"/>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13951495532</w:t>
            </w:r>
          </w:p>
        </w:tc>
      </w:tr>
      <w:tr w14:paraId="4DAA6B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6411FB2E">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10</w:t>
            </w:r>
          </w:p>
        </w:tc>
        <w:tc>
          <w:tcPr>
            <w:tcW w:w="708" w:type="pct"/>
            <w:tcBorders>
              <w:top w:val="single" w:color="auto" w:sz="4" w:space="0"/>
              <w:left w:val="single" w:color="auto" w:sz="4" w:space="0"/>
              <w:bottom w:val="single" w:color="auto" w:sz="4" w:space="0"/>
              <w:right w:val="single" w:color="auto" w:sz="4" w:space="0"/>
            </w:tcBorders>
            <w:vAlign w:val="center"/>
          </w:tcPr>
          <w:p w14:paraId="34783C4B">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李学字</w:t>
            </w:r>
          </w:p>
        </w:tc>
        <w:tc>
          <w:tcPr>
            <w:tcW w:w="1727" w:type="pct"/>
            <w:tcBorders>
              <w:top w:val="single" w:color="auto" w:sz="4" w:space="0"/>
              <w:left w:val="single" w:color="auto" w:sz="4" w:space="0"/>
              <w:bottom w:val="single" w:color="auto" w:sz="4" w:space="0"/>
              <w:right w:val="single" w:color="auto" w:sz="4" w:space="0"/>
            </w:tcBorders>
            <w:vAlign w:val="center"/>
          </w:tcPr>
          <w:p w14:paraId="786CD888">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kern w:val="0"/>
                <w:sz w:val="32"/>
                <w:szCs w:val="32"/>
                <w:lang w:bidi="ar"/>
              </w:rPr>
              <w:t>中蓝连海设计研究院有限公司</w:t>
            </w:r>
          </w:p>
        </w:tc>
        <w:tc>
          <w:tcPr>
            <w:tcW w:w="942" w:type="pct"/>
            <w:tcBorders>
              <w:top w:val="single" w:color="auto" w:sz="4" w:space="0"/>
              <w:left w:val="single" w:color="auto" w:sz="4" w:space="0"/>
              <w:bottom w:val="single" w:color="auto" w:sz="4" w:space="0"/>
              <w:right w:val="single" w:color="auto" w:sz="4" w:space="0"/>
            </w:tcBorders>
            <w:vAlign w:val="center"/>
          </w:tcPr>
          <w:p w14:paraId="31483D30">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正高级工程师</w:t>
            </w:r>
          </w:p>
        </w:tc>
        <w:tc>
          <w:tcPr>
            <w:tcW w:w="1200" w:type="pct"/>
            <w:tcBorders>
              <w:top w:val="single" w:color="auto" w:sz="4" w:space="0"/>
              <w:left w:val="single" w:color="auto" w:sz="4" w:space="0"/>
              <w:bottom w:val="single" w:color="auto" w:sz="4" w:space="0"/>
            </w:tcBorders>
            <w:vAlign w:val="center"/>
          </w:tcPr>
          <w:p w14:paraId="74AAB977">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sz w:val="32"/>
                <w:szCs w:val="32"/>
                <w:lang w:bidi="ar"/>
              </w:rPr>
              <w:t>13812349560</w:t>
            </w:r>
          </w:p>
        </w:tc>
      </w:tr>
      <w:tr w14:paraId="42FAEA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1B2043E2">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bCs/>
                <w:kern w:val="0"/>
                <w:sz w:val="32"/>
                <w:szCs w:val="32"/>
                <w:lang w:bidi="ar"/>
              </w:rPr>
              <w:t>11</w:t>
            </w:r>
          </w:p>
        </w:tc>
        <w:tc>
          <w:tcPr>
            <w:tcW w:w="708" w:type="pct"/>
            <w:tcBorders>
              <w:top w:val="single" w:color="auto" w:sz="4" w:space="0"/>
              <w:left w:val="single" w:color="auto" w:sz="4" w:space="0"/>
              <w:bottom w:val="single" w:color="auto" w:sz="4" w:space="0"/>
              <w:right w:val="single" w:color="auto" w:sz="4" w:space="0"/>
            </w:tcBorders>
            <w:vAlign w:val="center"/>
          </w:tcPr>
          <w:p w14:paraId="38A89C87">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李征芳</w:t>
            </w:r>
          </w:p>
        </w:tc>
        <w:tc>
          <w:tcPr>
            <w:tcW w:w="1727" w:type="pct"/>
            <w:tcBorders>
              <w:top w:val="single" w:color="auto" w:sz="4" w:space="0"/>
              <w:left w:val="single" w:color="auto" w:sz="4" w:space="0"/>
              <w:bottom w:val="single" w:color="auto" w:sz="4" w:space="0"/>
              <w:right w:val="single" w:color="auto" w:sz="4" w:space="0"/>
            </w:tcBorders>
            <w:vAlign w:val="center"/>
          </w:tcPr>
          <w:p w14:paraId="4B614D6F">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中蓝连海设计研究院有限公司</w:t>
            </w:r>
          </w:p>
        </w:tc>
        <w:tc>
          <w:tcPr>
            <w:tcW w:w="942" w:type="pct"/>
            <w:tcBorders>
              <w:top w:val="single" w:color="auto" w:sz="4" w:space="0"/>
              <w:left w:val="single" w:color="auto" w:sz="4" w:space="0"/>
              <w:bottom w:val="single" w:color="auto" w:sz="4" w:space="0"/>
              <w:right w:val="single" w:color="auto" w:sz="4" w:space="0"/>
            </w:tcBorders>
            <w:vAlign w:val="center"/>
          </w:tcPr>
          <w:p w14:paraId="3E751DFB">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14:paraId="5D6EDCAA">
            <w:pPr>
              <w:widowControl/>
              <w:adjustRightInd w:val="0"/>
              <w:snapToGrid w:val="0"/>
              <w:jc w:val="center"/>
              <w:rPr>
                <w:rFonts w:ascii="Times New Roman" w:hAnsi="Times New Roman" w:eastAsia="仿宋_GB2312"/>
                <w:bCs/>
                <w:kern w:val="0"/>
                <w:sz w:val="32"/>
                <w:szCs w:val="32"/>
                <w:lang w:bidi="ar"/>
              </w:rPr>
            </w:pPr>
            <w:r>
              <w:rPr>
                <w:rFonts w:ascii="Times New Roman" w:hAnsi="Times New Roman" w:eastAsia="仿宋_GB2312"/>
                <w:kern w:val="0"/>
                <w:sz w:val="32"/>
                <w:szCs w:val="32"/>
                <w:lang w:bidi="ar"/>
              </w:rPr>
              <w:t>13815667280</w:t>
            </w:r>
          </w:p>
        </w:tc>
      </w:tr>
      <w:tr w14:paraId="456BC2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3C5D6881">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12</w:t>
            </w:r>
          </w:p>
        </w:tc>
        <w:tc>
          <w:tcPr>
            <w:tcW w:w="708" w:type="pct"/>
            <w:tcBorders>
              <w:top w:val="single" w:color="auto" w:sz="4" w:space="0"/>
              <w:left w:val="single" w:color="auto" w:sz="4" w:space="0"/>
              <w:bottom w:val="single" w:color="auto" w:sz="4" w:space="0"/>
              <w:right w:val="single" w:color="auto" w:sz="4" w:space="0"/>
            </w:tcBorders>
            <w:vAlign w:val="center"/>
          </w:tcPr>
          <w:p w14:paraId="16604E1E">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孙  兵</w:t>
            </w:r>
          </w:p>
        </w:tc>
        <w:tc>
          <w:tcPr>
            <w:tcW w:w="1727" w:type="pct"/>
            <w:tcBorders>
              <w:top w:val="single" w:color="auto" w:sz="4" w:space="0"/>
              <w:left w:val="single" w:color="auto" w:sz="4" w:space="0"/>
              <w:bottom w:val="single" w:color="auto" w:sz="4" w:space="0"/>
              <w:right w:val="single" w:color="auto" w:sz="4" w:space="0"/>
            </w:tcBorders>
            <w:vAlign w:val="center"/>
          </w:tcPr>
          <w:p w14:paraId="105824CB">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江苏远征化工有限公司</w:t>
            </w:r>
          </w:p>
        </w:tc>
        <w:tc>
          <w:tcPr>
            <w:tcW w:w="942" w:type="pct"/>
            <w:tcBorders>
              <w:top w:val="single" w:color="auto" w:sz="4" w:space="0"/>
              <w:left w:val="single" w:color="auto" w:sz="4" w:space="0"/>
              <w:bottom w:val="single" w:color="auto" w:sz="4" w:space="0"/>
              <w:right w:val="single" w:color="auto" w:sz="4" w:space="0"/>
            </w:tcBorders>
            <w:vAlign w:val="center"/>
          </w:tcPr>
          <w:p w14:paraId="0F585D88">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14:paraId="3CE9AFDA">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sz w:val="32"/>
                <w:szCs w:val="32"/>
                <w:lang w:bidi="ar"/>
              </w:rPr>
              <w:t>13505133306</w:t>
            </w:r>
          </w:p>
        </w:tc>
      </w:tr>
      <w:tr w14:paraId="3FEDC1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387B3059">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13</w:t>
            </w:r>
          </w:p>
        </w:tc>
        <w:tc>
          <w:tcPr>
            <w:tcW w:w="708" w:type="pct"/>
            <w:tcBorders>
              <w:top w:val="single" w:color="auto" w:sz="4" w:space="0"/>
              <w:left w:val="single" w:color="auto" w:sz="4" w:space="0"/>
              <w:bottom w:val="single" w:color="auto" w:sz="4" w:space="0"/>
              <w:right w:val="single" w:color="auto" w:sz="4" w:space="0"/>
            </w:tcBorders>
            <w:vAlign w:val="center"/>
          </w:tcPr>
          <w:p w14:paraId="0B35E4BB">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王继续</w:t>
            </w:r>
          </w:p>
        </w:tc>
        <w:tc>
          <w:tcPr>
            <w:tcW w:w="1727" w:type="pct"/>
            <w:tcBorders>
              <w:top w:val="single" w:color="auto" w:sz="4" w:space="0"/>
              <w:left w:val="single" w:color="auto" w:sz="4" w:space="0"/>
              <w:bottom w:val="single" w:color="auto" w:sz="4" w:space="0"/>
              <w:right w:val="single" w:color="auto" w:sz="4" w:space="0"/>
            </w:tcBorders>
            <w:vAlign w:val="center"/>
          </w:tcPr>
          <w:p w14:paraId="6EE44CEE">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江苏智盛环境科技有限公司</w:t>
            </w:r>
          </w:p>
        </w:tc>
        <w:tc>
          <w:tcPr>
            <w:tcW w:w="942" w:type="pct"/>
            <w:tcBorders>
              <w:top w:val="single" w:color="auto" w:sz="4" w:space="0"/>
              <w:left w:val="single" w:color="auto" w:sz="4" w:space="0"/>
              <w:bottom w:val="single" w:color="auto" w:sz="4" w:space="0"/>
              <w:right w:val="single" w:color="auto" w:sz="4" w:space="0"/>
            </w:tcBorders>
            <w:vAlign w:val="center"/>
          </w:tcPr>
          <w:p w14:paraId="1D43BE58">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14:paraId="1C5280A0">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sz w:val="32"/>
                <w:szCs w:val="32"/>
                <w:lang w:bidi="ar"/>
              </w:rPr>
              <w:t>18961337679</w:t>
            </w:r>
          </w:p>
        </w:tc>
      </w:tr>
      <w:tr w14:paraId="645933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11C94C66">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14</w:t>
            </w:r>
          </w:p>
        </w:tc>
        <w:tc>
          <w:tcPr>
            <w:tcW w:w="708" w:type="pct"/>
            <w:tcBorders>
              <w:top w:val="single" w:color="auto" w:sz="4" w:space="0"/>
              <w:left w:val="single" w:color="auto" w:sz="4" w:space="0"/>
              <w:bottom w:val="single" w:color="auto" w:sz="4" w:space="0"/>
              <w:right w:val="single" w:color="auto" w:sz="4" w:space="0"/>
            </w:tcBorders>
            <w:vAlign w:val="center"/>
          </w:tcPr>
          <w:p w14:paraId="52C37F5D">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王开春</w:t>
            </w:r>
          </w:p>
        </w:tc>
        <w:tc>
          <w:tcPr>
            <w:tcW w:w="1727" w:type="pct"/>
            <w:tcBorders>
              <w:top w:val="single" w:color="auto" w:sz="4" w:space="0"/>
              <w:left w:val="single" w:color="auto" w:sz="4" w:space="0"/>
              <w:bottom w:val="single" w:color="auto" w:sz="4" w:space="0"/>
              <w:right w:val="single" w:color="auto" w:sz="4" w:space="0"/>
            </w:tcBorders>
            <w:vAlign w:val="center"/>
          </w:tcPr>
          <w:p w14:paraId="72715C0D">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中蓝连海设计研究院有限公司</w:t>
            </w:r>
          </w:p>
        </w:tc>
        <w:tc>
          <w:tcPr>
            <w:tcW w:w="942" w:type="pct"/>
            <w:tcBorders>
              <w:top w:val="single" w:color="auto" w:sz="4" w:space="0"/>
              <w:left w:val="single" w:color="auto" w:sz="4" w:space="0"/>
              <w:bottom w:val="single" w:color="auto" w:sz="4" w:space="0"/>
              <w:right w:val="single" w:color="auto" w:sz="4" w:space="0"/>
            </w:tcBorders>
            <w:vAlign w:val="center"/>
          </w:tcPr>
          <w:p w14:paraId="1605D0A2">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正高级工程师</w:t>
            </w:r>
          </w:p>
        </w:tc>
        <w:tc>
          <w:tcPr>
            <w:tcW w:w="1200" w:type="pct"/>
            <w:tcBorders>
              <w:top w:val="single" w:color="auto" w:sz="4" w:space="0"/>
              <w:left w:val="single" w:color="auto" w:sz="4" w:space="0"/>
              <w:bottom w:val="single" w:color="auto" w:sz="4" w:space="0"/>
            </w:tcBorders>
            <w:vAlign w:val="center"/>
          </w:tcPr>
          <w:p w14:paraId="28F0714B">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kern w:val="0"/>
                <w:sz w:val="32"/>
                <w:szCs w:val="32"/>
                <w:lang w:bidi="ar"/>
              </w:rPr>
              <w:t>13912164170</w:t>
            </w:r>
          </w:p>
        </w:tc>
      </w:tr>
      <w:tr w14:paraId="6589F3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4167EBF1">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bCs/>
                <w:kern w:val="0"/>
                <w:sz w:val="32"/>
                <w:szCs w:val="32"/>
                <w:lang w:bidi="ar"/>
              </w:rPr>
              <w:t>15</w:t>
            </w:r>
          </w:p>
        </w:tc>
        <w:tc>
          <w:tcPr>
            <w:tcW w:w="708" w:type="pct"/>
            <w:tcBorders>
              <w:top w:val="single" w:color="auto" w:sz="4" w:space="0"/>
              <w:left w:val="single" w:color="auto" w:sz="4" w:space="0"/>
              <w:bottom w:val="single" w:color="auto" w:sz="4" w:space="0"/>
              <w:right w:val="single" w:color="auto" w:sz="4" w:space="0"/>
            </w:tcBorders>
            <w:vAlign w:val="center"/>
          </w:tcPr>
          <w:p w14:paraId="5AC33742">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王童远</w:t>
            </w:r>
          </w:p>
        </w:tc>
        <w:tc>
          <w:tcPr>
            <w:tcW w:w="1727" w:type="pct"/>
            <w:tcBorders>
              <w:top w:val="single" w:color="auto" w:sz="4" w:space="0"/>
              <w:left w:val="single" w:color="auto" w:sz="4" w:space="0"/>
              <w:bottom w:val="single" w:color="auto" w:sz="4" w:space="0"/>
              <w:right w:val="single" w:color="auto" w:sz="4" w:space="0"/>
            </w:tcBorders>
            <w:vAlign w:val="center"/>
          </w:tcPr>
          <w:p w14:paraId="08F53898">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bCs/>
                <w:kern w:val="0"/>
                <w:sz w:val="32"/>
                <w:szCs w:val="32"/>
                <w:lang w:bidi="ar"/>
              </w:rPr>
              <w:t>连云港智清环境科技有限公司</w:t>
            </w:r>
          </w:p>
        </w:tc>
        <w:tc>
          <w:tcPr>
            <w:tcW w:w="942" w:type="pct"/>
            <w:tcBorders>
              <w:top w:val="single" w:color="auto" w:sz="4" w:space="0"/>
              <w:left w:val="single" w:color="auto" w:sz="4" w:space="0"/>
              <w:bottom w:val="single" w:color="auto" w:sz="4" w:space="0"/>
              <w:right w:val="single" w:color="auto" w:sz="4" w:space="0"/>
            </w:tcBorders>
            <w:vAlign w:val="center"/>
          </w:tcPr>
          <w:p w14:paraId="0D0C54EE">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14:paraId="33F6421B">
            <w:pPr>
              <w:widowControl/>
              <w:adjustRightInd w:val="0"/>
              <w:snapToGrid w:val="0"/>
              <w:jc w:val="center"/>
              <w:rPr>
                <w:rFonts w:ascii="Times New Roman" w:hAnsi="Times New Roman" w:eastAsia="仿宋_GB2312"/>
                <w:bCs/>
                <w:kern w:val="0"/>
                <w:sz w:val="32"/>
                <w:szCs w:val="32"/>
                <w:lang w:bidi="ar"/>
              </w:rPr>
            </w:pPr>
            <w:r>
              <w:rPr>
                <w:rFonts w:ascii="Times New Roman" w:hAnsi="Times New Roman" w:eastAsia="仿宋_GB2312"/>
                <w:kern w:val="0"/>
                <w:sz w:val="32"/>
                <w:szCs w:val="32"/>
                <w:lang w:bidi="ar"/>
              </w:rPr>
              <w:t>13961379121</w:t>
            </w:r>
          </w:p>
        </w:tc>
      </w:tr>
      <w:tr w14:paraId="7C5276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39B74A70">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16</w:t>
            </w:r>
          </w:p>
        </w:tc>
        <w:tc>
          <w:tcPr>
            <w:tcW w:w="708" w:type="pct"/>
            <w:tcBorders>
              <w:top w:val="single" w:color="auto" w:sz="4" w:space="0"/>
              <w:left w:val="single" w:color="auto" w:sz="4" w:space="0"/>
              <w:bottom w:val="single" w:color="auto" w:sz="4" w:space="0"/>
              <w:right w:val="single" w:color="auto" w:sz="4" w:space="0"/>
            </w:tcBorders>
            <w:vAlign w:val="center"/>
          </w:tcPr>
          <w:p w14:paraId="3DF8A125">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许宝明</w:t>
            </w:r>
          </w:p>
        </w:tc>
        <w:tc>
          <w:tcPr>
            <w:tcW w:w="1727" w:type="pct"/>
            <w:tcBorders>
              <w:top w:val="single" w:color="auto" w:sz="4" w:space="0"/>
              <w:left w:val="single" w:color="auto" w:sz="4" w:space="0"/>
              <w:bottom w:val="single" w:color="auto" w:sz="4" w:space="0"/>
              <w:right w:val="single" w:color="auto" w:sz="4" w:space="0"/>
            </w:tcBorders>
            <w:vAlign w:val="center"/>
          </w:tcPr>
          <w:p w14:paraId="780E4719">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灌南县环境科学学会（退休）</w:t>
            </w:r>
          </w:p>
        </w:tc>
        <w:tc>
          <w:tcPr>
            <w:tcW w:w="942" w:type="pct"/>
            <w:tcBorders>
              <w:top w:val="single" w:color="auto" w:sz="4" w:space="0"/>
              <w:left w:val="single" w:color="auto" w:sz="4" w:space="0"/>
              <w:bottom w:val="single" w:color="auto" w:sz="4" w:space="0"/>
              <w:right w:val="single" w:color="auto" w:sz="4" w:space="0"/>
            </w:tcBorders>
            <w:vAlign w:val="center"/>
          </w:tcPr>
          <w:p w14:paraId="4EE4B4B7">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14:paraId="26CF261A">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kern w:val="0"/>
                <w:sz w:val="32"/>
                <w:szCs w:val="32"/>
                <w:lang w:bidi="ar"/>
              </w:rPr>
              <w:t>13851235068</w:t>
            </w:r>
          </w:p>
        </w:tc>
      </w:tr>
      <w:tr w14:paraId="6B77DA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3A0D2EB8">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bCs/>
                <w:kern w:val="0"/>
                <w:sz w:val="32"/>
                <w:szCs w:val="32"/>
                <w:lang w:bidi="ar"/>
              </w:rPr>
              <w:t>17</w:t>
            </w:r>
          </w:p>
        </w:tc>
        <w:tc>
          <w:tcPr>
            <w:tcW w:w="708" w:type="pct"/>
            <w:tcBorders>
              <w:top w:val="single" w:color="auto" w:sz="4" w:space="0"/>
              <w:left w:val="single" w:color="auto" w:sz="4" w:space="0"/>
              <w:bottom w:val="single" w:color="auto" w:sz="4" w:space="0"/>
              <w:right w:val="single" w:color="auto" w:sz="4" w:space="0"/>
            </w:tcBorders>
            <w:vAlign w:val="center"/>
          </w:tcPr>
          <w:p w14:paraId="07C95DB0">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徐传江</w:t>
            </w:r>
          </w:p>
        </w:tc>
        <w:tc>
          <w:tcPr>
            <w:tcW w:w="1727" w:type="pct"/>
            <w:tcBorders>
              <w:top w:val="single" w:color="auto" w:sz="4" w:space="0"/>
              <w:left w:val="single" w:color="auto" w:sz="4" w:space="0"/>
              <w:bottom w:val="single" w:color="auto" w:sz="4" w:space="0"/>
              <w:right w:val="single" w:color="auto" w:sz="4" w:space="0"/>
            </w:tcBorders>
            <w:vAlign w:val="center"/>
          </w:tcPr>
          <w:p w14:paraId="3BCF05C3">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sz w:val="32"/>
                <w:szCs w:val="32"/>
                <w:lang w:bidi="ar"/>
              </w:rPr>
              <w:t>连云港市环境监察局（退休）</w:t>
            </w:r>
          </w:p>
        </w:tc>
        <w:tc>
          <w:tcPr>
            <w:tcW w:w="942" w:type="pct"/>
            <w:tcBorders>
              <w:top w:val="single" w:color="auto" w:sz="4" w:space="0"/>
              <w:left w:val="single" w:color="auto" w:sz="4" w:space="0"/>
              <w:bottom w:val="single" w:color="auto" w:sz="4" w:space="0"/>
              <w:right w:val="single" w:color="auto" w:sz="4" w:space="0"/>
            </w:tcBorders>
            <w:vAlign w:val="center"/>
          </w:tcPr>
          <w:p w14:paraId="272899AD">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14:paraId="1AE204AF">
            <w:pPr>
              <w:widowControl/>
              <w:adjustRightInd w:val="0"/>
              <w:snapToGrid w:val="0"/>
              <w:jc w:val="center"/>
              <w:rPr>
                <w:rFonts w:ascii="Times New Roman" w:hAnsi="Times New Roman" w:eastAsia="仿宋_GB2312"/>
                <w:kern w:val="0"/>
                <w:sz w:val="32"/>
                <w:szCs w:val="32"/>
                <w:lang w:bidi="ar"/>
              </w:rPr>
            </w:pPr>
            <w:r>
              <w:rPr>
                <w:rFonts w:ascii="Times New Roman" w:hAnsi="Times New Roman" w:eastAsia="仿宋_GB2312"/>
                <w:sz w:val="32"/>
                <w:szCs w:val="32"/>
                <w:lang w:bidi="ar"/>
              </w:rPr>
              <w:t>13611551189</w:t>
            </w:r>
          </w:p>
        </w:tc>
      </w:tr>
      <w:tr w14:paraId="58A297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0522DEA4">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18</w:t>
            </w:r>
          </w:p>
        </w:tc>
        <w:tc>
          <w:tcPr>
            <w:tcW w:w="708" w:type="pct"/>
            <w:tcBorders>
              <w:top w:val="single" w:color="auto" w:sz="4" w:space="0"/>
              <w:left w:val="single" w:color="auto" w:sz="4" w:space="0"/>
              <w:bottom w:val="single" w:color="auto" w:sz="4" w:space="0"/>
              <w:right w:val="single" w:color="auto" w:sz="4" w:space="0"/>
            </w:tcBorders>
            <w:vAlign w:val="center"/>
          </w:tcPr>
          <w:p w14:paraId="08E2D0A6">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徐国想</w:t>
            </w:r>
          </w:p>
        </w:tc>
        <w:tc>
          <w:tcPr>
            <w:tcW w:w="1727" w:type="pct"/>
            <w:tcBorders>
              <w:top w:val="single" w:color="auto" w:sz="4" w:space="0"/>
              <w:left w:val="single" w:color="auto" w:sz="4" w:space="0"/>
              <w:bottom w:val="single" w:color="auto" w:sz="4" w:space="0"/>
              <w:right w:val="single" w:color="auto" w:sz="4" w:space="0"/>
            </w:tcBorders>
            <w:vAlign w:val="center"/>
          </w:tcPr>
          <w:p w14:paraId="4AD92EE6">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江苏海洋大学</w:t>
            </w:r>
          </w:p>
        </w:tc>
        <w:tc>
          <w:tcPr>
            <w:tcW w:w="942" w:type="pct"/>
            <w:tcBorders>
              <w:top w:val="single" w:color="auto" w:sz="4" w:space="0"/>
              <w:left w:val="single" w:color="auto" w:sz="4" w:space="0"/>
              <w:bottom w:val="single" w:color="auto" w:sz="4" w:space="0"/>
              <w:right w:val="single" w:color="auto" w:sz="4" w:space="0"/>
            </w:tcBorders>
            <w:vAlign w:val="center"/>
          </w:tcPr>
          <w:p w14:paraId="739DDBF1">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教授</w:t>
            </w:r>
          </w:p>
        </w:tc>
        <w:tc>
          <w:tcPr>
            <w:tcW w:w="1200" w:type="pct"/>
            <w:tcBorders>
              <w:top w:val="single" w:color="auto" w:sz="4" w:space="0"/>
              <w:left w:val="single" w:color="auto" w:sz="4" w:space="0"/>
              <w:bottom w:val="single" w:color="auto" w:sz="4" w:space="0"/>
            </w:tcBorders>
            <w:vAlign w:val="center"/>
          </w:tcPr>
          <w:p w14:paraId="1AB3C859">
            <w:pPr>
              <w:widowControl/>
              <w:adjustRightInd w:val="0"/>
              <w:snapToGrid w:val="0"/>
              <w:jc w:val="center"/>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15105131299</w:t>
            </w:r>
          </w:p>
        </w:tc>
      </w:tr>
      <w:tr w14:paraId="4BD882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57DED1A8">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19</w:t>
            </w:r>
          </w:p>
        </w:tc>
        <w:tc>
          <w:tcPr>
            <w:tcW w:w="708" w:type="pct"/>
            <w:tcBorders>
              <w:top w:val="single" w:color="auto" w:sz="4" w:space="0"/>
              <w:left w:val="single" w:color="auto" w:sz="4" w:space="0"/>
              <w:bottom w:val="single" w:color="auto" w:sz="4" w:space="0"/>
              <w:right w:val="single" w:color="auto" w:sz="4" w:space="0"/>
            </w:tcBorders>
            <w:vAlign w:val="center"/>
          </w:tcPr>
          <w:p w14:paraId="3B510AA9">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杨超喜</w:t>
            </w:r>
          </w:p>
        </w:tc>
        <w:tc>
          <w:tcPr>
            <w:tcW w:w="1727" w:type="pct"/>
            <w:tcBorders>
              <w:top w:val="single" w:color="auto" w:sz="4" w:space="0"/>
              <w:left w:val="single" w:color="auto" w:sz="4" w:space="0"/>
              <w:bottom w:val="single" w:color="auto" w:sz="4" w:space="0"/>
              <w:right w:val="single" w:color="auto" w:sz="4" w:space="0"/>
            </w:tcBorders>
            <w:vAlign w:val="center"/>
          </w:tcPr>
          <w:p w14:paraId="3BDFEAE3">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连云港龙展环保科技有限公司</w:t>
            </w:r>
          </w:p>
        </w:tc>
        <w:tc>
          <w:tcPr>
            <w:tcW w:w="942" w:type="pct"/>
            <w:tcBorders>
              <w:top w:val="single" w:color="auto" w:sz="4" w:space="0"/>
              <w:left w:val="single" w:color="auto" w:sz="4" w:space="0"/>
              <w:bottom w:val="single" w:color="auto" w:sz="4" w:space="0"/>
              <w:right w:val="single" w:color="auto" w:sz="4" w:space="0"/>
            </w:tcBorders>
            <w:vAlign w:val="center"/>
          </w:tcPr>
          <w:p w14:paraId="57A32C59">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14:paraId="40C16B10">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sz w:val="32"/>
                <w:szCs w:val="32"/>
                <w:lang w:bidi="ar"/>
              </w:rPr>
              <w:t>15051171766</w:t>
            </w:r>
          </w:p>
        </w:tc>
      </w:tr>
      <w:tr w14:paraId="3E5F88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14:paraId="04807FAE">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20</w:t>
            </w:r>
          </w:p>
        </w:tc>
        <w:tc>
          <w:tcPr>
            <w:tcW w:w="708" w:type="pct"/>
            <w:tcBorders>
              <w:top w:val="single" w:color="auto" w:sz="4" w:space="0"/>
              <w:left w:val="single" w:color="auto" w:sz="4" w:space="0"/>
              <w:bottom w:val="single" w:color="auto" w:sz="4" w:space="0"/>
              <w:right w:val="single" w:color="auto" w:sz="4" w:space="0"/>
            </w:tcBorders>
            <w:vAlign w:val="center"/>
          </w:tcPr>
          <w:p w14:paraId="37F040CC">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张学金</w:t>
            </w:r>
          </w:p>
        </w:tc>
        <w:tc>
          <w:tcPr>
            <w:tcW w:w="1727" w:type="pct"/>
            <w:tcBorders>
              <w:top w:val="single" w:color="auto" w:sz="4" w:space="0"/>
              <w:left w:val="single" w:color="auto" w:sz="4" w:space="0"/>
              <w:bottom w:val="single" w:color="auto" w:sz="4" w:space="0"/>
              <w:right w:val="single" w:color="auto" w:sz="4" w:space="0"/>
            </w:tcBorders>
            <w:vAlign w:val="center"/>
          </w:tcPr>
          <w:p w14:paraId="5893FEEF">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江苏思壮环保科技有限公司</w:t>
            </w:r>
          </w:p>
        </w:tc>
        <w:tc>
          <w:tcPr>
            <w:tcW w:w="942" w:type="pct"/>
            <w:tcBorders>
              <w:top w:val="single" w:color="auto" w:sz="4" w:space="0"/>
              <w:left w:val="single" w:color="auto" w:sz="4" w:space="0"/>
              <w:bottom w:val="single" w:color="auto" w:sz="4" w:space="0"/>
              <w:right w:val="single" w:color="auto" w:sz="4" w:space="0"/>
            </w:tcBorders>
            <w:vAlign w:val="center"/>
          </w:tcPr>
          <w:p w14:paraId="102B896A">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kern w:val="0"/>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14:paraId="4AEA8722">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kern w:val="0"/>
                <w:sz w:val="32"/>
                <w:szCs w:val="32"/>
                <w:lang w:bidi="ar"/>
              </w:rPr>
              <w:t>13961345058</w:t>
            </w:r>
          </w:p>
        </w:tc>
      </w:tr>
    </w:tbl>
    <w:p w14:paraId="467F14F9">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现场应急指挥部组成及职责</w:t>
      </w:r>
    </w:p>
    <w:p w14:paraId="497A44E6">
      <w:pPr>
        <w:snapToGrid w:val="0"/>
        <w:spacing w:line="520" w:lineRule="exact"/>
        <w:ind w:firstLine="640" w:firstLineChars="200"/>
        <w:rPr>
          <w:rFonts w:ascii="Times New Roman" w:hAnsi="Times New Roman" w:eastAsia="仿宋_GB2312"/>
          <w:kern w:val="0"/>
          <w:sz w:val="32"/>
          <w:szCs w:val="32"/>
        </w:rPr>
      </w:pPr>
      <w:bookmarkStart w:id="292" w:name="_Hlk39054215"/>
      <w:r>
        <w:rPr>
          <w:rFonts w:hint="eastAsia" w:ascii="宋体" w:hAnsi="宋体" w:eastAsia="宋体" w:cs="宋体"/>
          <w:kern w:val="0"/>
          <w:sz w:val="32"/>
          <w:szCs w:val="32"/>
        </w:rPr>
        <w:t>⑴</w:t>
      </w:r>
      <w:r>
        <w:rPr>
          <w:rFonts w:ascii="Times New Roman" w:hAnsi="Times New Roman" w:eastAsia="仿宋_GB2312"/>
          <w:kern w:val="0"/>
          <w:sz w:val="32"/>
          <w:szCs w:val="32"/>
        </w:rPr>
        <w:t>综合协调组</w:t>
      </w:r>
    </w:p>
    <w:p w14:paraId="0EF74D5A">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在突发环境事件应急指挥部领导下，负责总体协调、工作指导、督办核查等工作，负责沟通衔接、工作保障、有关会议安排、材料起草、信息汇总报送等工作。</w:t>
      </w:r>
    </w:p>
    <w:p w14:paraId="7E812A53">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⑵</w:t>
      </w:r>
      <w:r>
        <w:rPr>
          <w:rFonts w:ascii="Times New Roman" w:hAnsi="Times New Roman" w:eastAsia="仿宋_GB2312"/>
          <w:kern w:val="0"/>
          <w:sz w:val="32"/>
          <w:szCs w:val="32"/>
        </w:rPr>
        <w:t>应急监测组</w:t>
      </w:r>
    </w:p>
    <w:p w14:paraId="79D063E1">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对可能受影响区域内的空气质量、敏感水体（如饮用水水源地）水质等进行快速监测，提出初步应对建议；组织开展对突发环境事件的污染物种类、性质以及当地气象、自然、社会环境状况等的调查；根据现场情况明确相应的应急监测方案及监测方法，确定污染物扩散范围，明确监测的布点和频次；做好大气、水体、土壤等应急监测及数据汇总分析，为突发环境事件应急决策提供依据。</w:t>
      </w:r>
    </w:p>
    <w:p w14:paraId="67F1EB75">
      <w:pPr>
        <w:snapToGrid w:val="0"/>
        <w:spacing w:line="56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⑶</w:t>
      </w:r>
      <w:r>
        <w:rPr>
          <w:rFonts w:ascii="Times New Roman" w:hAnsi="Times New Roman" w:eastAsia="仿宋_GB2312"/>
          <w:kern w:val="0"/>
          <w:sz w:val="32"/>
          <w:szCs w:val="32"/>
        </w:rPr>
        <w:t>污染处置组</w:t>
      </w:r>
    </w:p>
    <w:p w14:paraId="72B0EFCE">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组织开展现场调查和应急测绘，收集汇总相关数据，组织技术研判和事态分析；分析污染途径，明确防止污染物扩散的程序；组织采取有效措施，迅速切断污染源，消除或减轻已经造成的污染；明确现场处置人员的个人防护措施；组织落实相关企业停、限产措施；组织建立现场警戒区和交通管制区域，确定重点防护区域，确定受威胁人员疏散的方式和途径，疏散转移受威胁人员至应急避灾场所；协调军队、武警有关力量参与应急处置。</w:t>
      </w:r>
    </w:p>
    <w:p w14:paraId="1672ED9F">
      <w:pPr>
        <w:snapToGrid w:val="0"/>
        <w:spacing w:line="56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⑷</w:t>
      </w:r>
      <w:r>
        <w:rPr>
          <w:rFonts w:ascii="Times New Roman" w:hAnsi="Times New Roman" w:eastAsia="仿宋_GB2312"/>
          <w:kern w:val="0"/>
          <w:sz w:val="32"/>
          <w:szCs w:val="32"/>
        </w:rPr>
        <w:t>应急保障组</w:t>
      </w:r>
    </w:p>
    <w:p w14:paraId="34CDA186">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调配救援队伍和装备；组织做好应急救援物资及临时安置重要物资的紧急生产、储备调拨和紧急配送工作；做好受影响居民临时基本生活救助工作；负责事件应对省级经费保障。</w:t>
      </w:r>
    </w:p>
    <w:p w14:paraId="03C9C7A8">
      <w:pPr>
        <w:snapToGrid w:val="0"/>
        <w:spacing w:line="56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⑸</w:t>
      </w:r>
      <w:r>
        <w:rPr>
          <w:rFonts w:ascii="Times New Roman" w:hAnsi="Times New Roman" w:eastAsia="仿宋_GB2312"/>
          <w:kern w:val="0"/>
          <w:sz w:val="32"/>
          <w:szCs w:val="32"/>
        </w:rPr>
        <w:t>医疗救治组</w:t>
      </w:r>
    </w:p>
    <w:p w14:paraId="438385D4">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组派医疗卫生救援队伍，开展伤病员医学救治、应急心理援助；指导和协助开展受污染人员的去污洗消工作；提出保护公众健康的措施建议。</w:t>
      </w:r>
    </w:p>
    <w:p w14:paraId="6156C156">
      <w:pPr>
        <w:snapToGrid w:val="0"/>
        <w:spacing w:line="56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⑹</w:t>
      </w:r>
      <w:r>
        <w:rPr>
          <w:rFonts w:ascii="Times New Roman" w:hAnsi="Times New Roman" w:eastAsia="仿宋_GB2312"/>
          <w:kern w:val="0"/>
          <w:sz w:val="32"/>
          <w:szCs w:val="32"/>
        </w:rPr>
        <w:t>新闻宣传组</w:t>
      </w:r>
    </w:p>
    <w:p w14:paraId="68CC4F96">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组织开展事件进展、应急工作情况等权威信息发布，加强新闻宣传报道；收集分析国内外舆情和社会公众动态，加强媒体、电信和互联网管理，正确引导舆论；通过多种方式，通俗、权威、全面、前瞻地做好相关知识普及；及时澄清不实信息，回应社会关切。</w:t>
      </w:r>
    </w:p>
    <w:p w14:paraId="6CAA4348">
      <w:pPr>
        <w:snapToGrid w:val="0"/>
        <w:spacing w:line="56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⑺</w:t>
      </w:r>
      <w:r>
        <w:rPr>
          <w:rFonts w:ascii="Times New Roman" w:hAnsi="Times New Roman" w:eastAsia="仿宋_GB2312"/>
          <w:kern w:val="0"/>
          <w:sz w:val="32"/>
          <w:szCs w:val="32"/>
        </w:rPr>
        <w:t>调查评估组</w:t>
      </w:r>
    </w:p>
    <w:p w14:paraId="19104F22">
      <w:pPr>
        <w:snapToGrid w:val="0"/>
        <w:spacing w:line="560" w:lineRule="exact"/>
        <w:ind w:firstLine="640" w:firstLineChars="200"/>
        <w:rPr>
          <w:rFonts w:ascii="Times New Roman" w:hAnsi="Times New Roman" w:eastAsia="仿宋_GB2312"/>
          <w:kern w:val="0"/>
          <w:sz w:val="32"/>
          <w:szCs w:val="32"/>
        </w:rPr>
        <w:sectPr>
          <w:pgSz w:w="11906" w:h="16838"/>
          <w:pgMar w:top="2098" w:right="1474" w:bottom="1985" w:left="1588" w:header="851" w:footer="1588" w:gutter="0"/>
          <w:cols w:space="720" w:num="1"/>
          <w:docGrid w:linePitch="312" w:charSpace="0"/>
        </w:sectPr>
      </w:pPr>
      <w:r>
        <w:rPr>
          <w:rFonts w:ascii="Times New Roman" w:hAnsi="Times New Roman" w:eastAsia="仿宋_GB2312"/>
          <w:kern w:val="0"/>
          <w:sz w:val="32"/>
          <w:szCs w:val="32"/>
        </w:rPr>
        <w:t>开展突发环境事件环境污染损害调查，委托开展评估、核实事件造成的损失情况；对社会级、开发区级突发环境事件的起因、性质、影响、责任、经验教训和恢复重建等问题进行调查评估；对应急处置过程、有关人员的责任、应急处置工作的经验、存在的问题等情况进行分析</w:t>
      </w:r>
      <w:bookmarkEnd w:id="292"/>
      <w:r>
        <w:rPr>
          <w:rFonts w:ascii="Times New Roman" w:hAnsi="Times New Roman" w:eastAsia="仿宋_GB2312"/>
          <w:kern w:val="0"/>
          <w:sz w:val="32"/>
          <w:szCs w:val="32"/>
        </w:rPr>
        <w:t>。</w:t>
      </w:r>
    </w:p>
    <w:p w14:paraId="57C5FA08">
      <w:pPr>
        <w:numPr>
          <w:ilvl w:val="0"/>
          <w:numId w:val="1"/>
        </w:numPr>
        <w:snapToGrid w:val="0"/>
        <w:spacing w:line="520" w:lineRule="exact"/>
        <w:ind w:left="0" w:firstLine="640" w:firstLineChars="200"/>
        <w:outlineLvl w:val="0"/>
        <w:rPr>
          <w:rFonts w:ascii="Times New Roman" w:hAnsi="Times New Roman" w:eastAsia="黑体"/>
          <w:sz w:val="32"/>
          <w:szCs w:val="32"/>
        </w:rPr>
      </w:pPr>
      <w:bookmarkStart w:id="293" w:name="_Toc58392449"/>
      <w:r>
        <w:rPr>
          <w:rFonts w:ascii="Times New Roman" w:hAnsi="Times New Roman" w:eastAsia="黑体"/>
          <w:sz w:val="32"/>
          <w:szCs w:val="32"/>
        </w:rPr>
        <w:t xml:space="preserve">  预防与预警</w:t>
      </w:r>
      <w:bookmarkEnd w:id="293"/>
    </w:p>
    <w:p w14:paraId="7AF153B6">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294" w:name="_Toc58392450"/>
      <w:r>
        <w:rPr>
          <w:rFonts w:ascii="Times New Roman" w:hAnsi="Times New Roman" w:eastAsia="楷体_GB2312"/>
          <w:sz w:val="32"/>
          <w:szCs w:val="32"/>
        </w:rPr>
        <w:t xml:space="preserve">  环境风险源监控</w:t>
      </w:r>
      <w:bookmarkEnd w:id="294"/>
    </w:p>
    <w:p w14:paraId="52576712">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环境风险源识别与评估</w:t>
      </w:r>
    </w:p>
    <w:p w14:paraId="302054F1">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建立健全开发区环境风险源识别与评估制度。开发区内企业风险源的识别范围应尽量覆盖危险作业的所有场所、所有危险设施（设备）和所有危险物质以及高风险作业的人员。主要内容包括以下三个方面：</w:t>
      </w:r>
    </w:p>
    <w:p w14:paraId="2604A68C">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（1）识别生产、储存、运输过程中的重大危险源；</w:t>
      </w:r>
    </w:p>
    <w:p w14:paraId="2FC13019">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（2）识别各生产系统和辅助系统及其工艺、场所、设备、设施是否符合安全生产、运输要求，是否存在重大危险源；</w:t>
      </w:r>
    </w:p>
    <w:p w14:paraId="3D918B41">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安全生产保障体系及安全管理制度的落实是否适应和满足法律法规标准及安全生产要求。在此基础上，开发区突发环境事件应急指挥部相关单位成员按照早发现、早报告、早处置的原则，开展对开发区环境信息、监测数据、风险源信息的综合分析、评估工作。</w:t>
      </w:r>
    </w:p>
    <w:p w14:paraId="4965C920">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环境风险源监测监控</w:t>
      </w:r>
    </w:p>
    <w:p w14:paraId="6CB4C274">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开发区突发环境事件应急指挥部成员单位按照各自职责开展监测监控工作。对开发区内、边界、距离开发区最近的环境敏感目标处，建立环境污染预防预警监控点。</w:t>
      </w:r>
    </w:p>
    <w:p w14:paraId="4B957466">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为确保发生突发环境事件时，相关人员能及时、有效地应对，防止事态的进一步发展和扩大，开发区各企业按规定设置污染源自动监控和预警系统以及必要的灭火器材和应急救援器材，用于初起突发事件的控制。</w:t>
      </w:r>
    </w:p>
    <w:p w14:paraId="28B75E14">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固定风险源的监控措施</w:t>
      </w:r>
    </w:p>
    <w:p w14:paraId="41B45A45">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（1）开发区突发环境事件应急指挥部有关单位按照各自职责监督固定危险源单位落实责任主体。</w:t>
      </w:r>
    </w:p>
    <w:p w14:paraId="352C21F8">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（2）定期检查维护污染治理设备、设施，确保安全正常运行。</w:t>
      </w:r>
    </w:p>
    <w:p w14:paraId="0DC42B7C">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（3）建立健全环境应急体制机制，制定完善专项预案，定期组织培训和演练。</w:t>
      </w:r>
    </w:p>
    <w:p w14:paraId="2C3C13F3">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（4）掌握应急处置技术，充分储备应急物资，完善应急设施（应急池、喷淋装置等），做好紧急应对准备。</w:t>
      </w:r>
    </w:p>
    <w:p w14:paraId="602C6B81">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（5）经常进行环境隐患排查，开展风险评估。</w:t>
      </w:r>
    </w:p>
    <w:p w14:paraId="1487898B">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移动风险源的监控措施</w:t>
      </w:r>
    </w:p>
    <w:p w14:paraId="0B274B7E">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（1）各职能部门按照《危险化学品安全管理条例》（国务院令第344号）认真履行职责，监督危险化学品运输单位制定环境应急预案并落实各项预防措施。</w:t>
      </w:r>
    </w:p>
    <w:p w14:paraId="1932D747">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（2）加强对途经饮用水水源地、重点流域和事故多发路段移动危险源的动态监控。</w:t>
      </w:r>
    </w:p>
    <w:p w14:paraId="39E8AAC5">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（3）危险化学品运输单位要加强管理，制定环境应急专项预案，掌握承运危险化学品的应急处置技术。</w:t>
      </w:r>
    </w:p>
    <w:p w14:paraId="0ED8417F">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295" w:name="_Toc305773195"/>
      <w:bookmarkStart w:id="296" w:name="_Toc302987452"/>
      <w:bookmarkStart w:id="297" w:name="_Toc305773617"/>
      <w:bookmarkStart w:id="298" w:name="_Toc305772054"/>
      <w:bookmarkStart w:id="299" w:name="_Toc31514129"/>
      <w:r>
        <w:rPr>
          <w:rFonts w:ascii="Times New Roman" w:hAnsi="Times New Roman" w:eastAsia="仿宋_GB2312"/>
          <w:kern w:val="0"/>
          <w:sz w:val="32"/>
          <w:szCs w:val="32"/>
        </w:rPr>
        <w:t>饮用水水源地的</w:t>
      </w:r>
      <w:bookmarkEnd w:id="295"/>
      <w:bookmarkEnd w:id="296"/>
      <w:bookmarkEnd w:id="297"/>
      <w:bookmarkEnd w:id="298"/>
      <w:bookmarkEnd w:id="299"/>
      <w:r>
        <w:rPr>
          <w:rFonts w:ascii="Times New Roman" w:hAnsi="Times New Roman" w:eastAsia="仿宋_GB2312"/>
          <w:kern w:val="0"/>
          <w:sz w:val="32"/>
          <w:szCs w:val="32"/>
        </w:rPr>
        <w:t>监控措施</w:t>
      </w:r>
    </w:p>
    <w:p w14:paraId="0DB3D0DC">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开发区管委会应及时提请政府及相关部门做好饮用水水源地的预防工作。</w:t>
      </w:r>
    </w:p>
    <w:p w14:paraId="759A331E">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⑴</w:t>
      </w:r>
      <w:r>
        <w:rPr>
          <w:rFonts w:ascii="Times New Roman" w:hAnsi="Times New Roman" w:eastAsia="仿宋_GB2312"/>
          <w:kern w:val="0"/>
          <w:sz w:val="32"/>
          <w:szCs w:val="32"/>
        </w:rPr>
        <w:t>政府在规划的饮用水水源地保护区和准保护区设立地理界标和警示标志。</w:t>
      </w:r>
    </w:p>
    <w:p w14:paraId="7009D80D">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⑵</w:t>
      </w:r>
      <w:r>
        <w:rPr>
          <w:rFonts w:ascii="Times New Roman" w:hAnsi="Times New Roman" w:eastAsia="仿宋_GB2312"/>
          <w:kern w:val="0"/>
          <w:sz w:val="32"/>
          <w:szCs w:val="32"/>
        </w:rPr>
        <w:t>有关部门按照职责分工，加强监管，定期开展饮用水水源地水质监测。</w:t>
      </w:r>
    </w:p>
    <w:p w14:paraId="69F21D3C">
      <w:pPr>
        <w:snapToGrid w:val="0"/>
        <w:spacing w:line="56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⑶</w:t>
      </w:r>
      <w:r>
        <w:rPr>
          <w:rFonts w:ascii="Times New Roman" w:hAnsi="Times New Roman" w:eastAsia="仿宋_GB2312"/>
          <w:kern w:val="0"/>
          <w:sz w:val="32"/>
          <w:szCs w:val="32"/>
        </w:rPr>
        <w:t>水源保护区管理部门和城市供水部门制定饮用水水源水质污染事故应急预案，落实预防措施和保障措施。</w:t>
      </w:r>
    </w:p>
    <w:p w14:paraId="6BD0558C">
      <w:pPr>
        <w:numPr>
          <w:ilvl w:val="1"/>
          <w:numId w:val="1"/>
        </w:numPr>
        <w:snapToGrid w:val="0"/>
        <w:spacing w:line="560" w:lineRule="exact"/>
        <w:ind w:left="0" w:firstLine="640" w:firstLineChars="200"/>
        <w:outlineLvl w:val="1"/>
        <w:rPr>
          <w:rFonts w:ascii="Times New Roman" w:hAnsi="Times New Roman" w:eastAsia="楷体_GB2312"/>
          <w:sz w:val="32"/>
          <w:szCs w:val="32"/>
        </w:rPr>
      </w:pPr>
      <w:bookmarkStart w:id="300" w:name="_Toc58392451"/>
      <w:r>
        <w:rPr>
          <w:rFonts w:ascii="Times New Roman" w:hAnsi="Times New Roman" w:eastAsia="楷体_GB2312"/>
          <w:sz w:val="32"/>
          <w:szCs w:val="32"/>
        </w:rPr>
        <w:t xml:space="preserve">  预警行动</w:t>
      </w:r>
      <w:bookmarkEnd w:id="300"/>
    </w:p>
    <w:p w14:paraId="4F9AED61">
      <w:pPr>
        <w:numPr>
          <w:ilvl w:val="2"/>
          <w:numId w:val="1"/>
        </w:numPr>
        <w:snapToGrid w:val="0"/>
        <w:spacing w:line="56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预警条件</w:t>
      </w:r>
    </w:p>
    <w:p w14:paraId="3653DB13">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任何部门或单位通过在日常检查中发现、群众举报、环保投诉热线、新闻媒体或其他途径得知的重大环境事件隐患，必须立即上报市生态环境局开发区分局，由市生态环境局开发区分局报开发区突发环境事件应急指挥部。</w:t>
      </w:r>
    </w:p>
    <w:p w14:paraId="32DADC25">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（2）对重大环境事件隐患，无论属于哪个部门主管，接报后，立即由主管部门报开发区突发环境事件应急指挥部。</w:t>
      </w:r>
    </w:p>
    <w:p w14:paraId="3699E613">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（3）各职能部门应在上报信息的同时，指派执法人员对突发环境事件隐患的源头单位进行污染控制，防止环境污染的进一步扩大。</w:t>
      </w:r>
    </w:p>
    <w:p w14:paraId="526D275A">
      <w:pPr>
        <w:numPr>
          <w:ilvl w:val="2"/>
          <w:numId w:val="1"/>
        </w:numPr>
        <w:snapToGrid w:val="0"/>
        <w:spacing w:line="56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预警发布</w:t>
      </w:r>
    </w:p>
    <w:p w14:paraId="2D0C0708">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按照突发事件严重性、紧急程度和可能波及的范围，突发环境事件的预警分为四级，预警级别由低到高，颜色依次分为蓝色、橙色、红色。根据事态的发展情况和采取措施的效果，预警颜色可以升级、降级和解除。</w:t>
      </w:r>
    </w:p>
    <w:p w14:paraId="5BB701B5">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蓝色预警：将要发生企事业单位级突发环境事件（III级），事态可能扩大；</w:t>
      </w:r>
    </w:p>
    <w:p w14:paraId="34A62733">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橙色预警：将要发生开发区级突发环境事件（</w:t>
      </w:r>
      <w:r>
        <w:rPr>
          <w:rFonts w:hint="eastAsia" w:ascii="宋体" w:hAnsi="宋体" w:eastAsia="宋体" w:cs="宋体"/>
          <w:kern w:val="0"/>
          <w:sz w:val="32"/>
          <w:szCs w:val="32"/>
        </w:rPr>
        <w:t>Ⅱ</w:t>
      </w:r>
      <w:r>
        <w:rPr>
          <w:rFonts w:ascii="Times New Roman" w:hAnsi="Times New Roman" w:eastAsia="仿宋_GB2312"/>
          <w:kern w:val="0"/>
          <w:sz w:val="32"/>
          <w:szCs w:val="32"/>
        </w:rPr>
        <w:t>级），事态正在逐步扩大；</w:t>
      </w:r>
    </w:p>
    <w:p w14:paraId="047ADBBD">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红色预警：将要发生社会级突发环境事件（</w:t>
      </w:r>
      <w:r>
        <w:rPr>
          <w:rFonts w:hint="eastAsia" w:ascii="宋体" w:hAnsi="宋体" w:eastAsia="宋体" w:cs="宋体"/>
          <w:kern w:val="0"/>
          <w:sz w:val="32"/>
          <w:szCs w:val="32"/>
        </w:rPr>
        <w:t>Ⅰ</w:t>
      </w:r>
      <w:r>
        <w:rPr>
          <w:rFonts w:ascii="Times New Roman" w:hAnsi="Times New Roman" w:eastAsia="仿宋_GB2312"/>
          <w:kern w:val="0"/>
          <w:sz w:val="32"/>
          <w:szCs w:val="32"/>
        </w:rPr>
        <w:t>级），事态正在不断蔓延。</w:t>
      </w:r>
    </w:p>
    <w:p w14:paraId="5FEF1098">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预警信息的取消按照“谁发布、谁取消”的原则执行。</w:t>
      </w:r>
    </w:p>
    <w:p w14:paraId="6702F8DA">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收集到的有关信息证明突发环境事件即将发生或者发生的可能性增大时，按照相关应急预案执行。</w:t>
      </w:r>
    </w:p>
    <w:p w14:paraId="642F733F">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进入预警状态后，开发区突发环境事件应急指挥部应采取以下措施：</w:t>
      </w:r>
    </w:p>
    <w:p w14:paraId="5DB56F24">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（1）立即启动相关应急预案。</w:t>
      </w:r>
    </w:p>
    <w:p w14:paraId="60FC6A52">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（2）发布预警公告。蓝色预警由开发区管委会负责发布；黄色预警由连云港市人民政府负责发布；橙色预警由江苏省人民政府负责发布；红色预警由国务院或省政府根据国务院授权负责发布。</w:t>
      </w:r>
    </w:p>
    <w:p w14:paraId="293DB3F8">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（3）转移、撤离或者疏散可能受到危害的人员，并进行妥善安置。</w:t>
      </w:r>
    </w:p>
    <w:p w14:paraId="4AC08552">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（4）指令各突发环境事件应急救援队伍进入应急状态，环境监测部门立即开展应急监测，随时掌握并报告事态进展情况。</w:t>
      </w:r>
    </w:p>
    <w:p w14:paraId="041A821C">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（5）针对突发事件可能造成的危害，封闭、隔离或者限制使用有关场所，中止可能导致危害扩大的行为和活动。</w:t>
      </w:r>
    </w:p>
    <w:p w14:paraId="5AA07F5D">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（6）调集环境应急所需物资和设备，确保应急保障工作。</w:t>
      </w:r>
    </w:p>
    <w:p w14:paraId="33CE8BCD">
      <w:pPr>
        <w:numPr>
          <w:ilvl w:val="1"/>
          <w:numId w:val="1"/>
        </w:numPr>
        <w:snapToGrid w:val="0"/>
        <w:spacing w:line="560" w:lineRule="exact"/>
        <w:ind w:left="0" w:firstLine="640" w:firstLineChars="200"/>
        <w:outlineLvl w:val="1"/>
        <w:rPr>
          <w:rFonts w:ascii="Times New Roman" w:hAnsi="Times New Roman" w:eastAsia="楷体_GB2312"/>
          <w:sz w:val="32"/>
          <w:szCs w:val="32"/>
        </w:rPr>
      </w:pPr>
      <w:bookmarkStart w:id="301" w:name="_Toc58392452"/>
      <w:r>
        <w:rPr>
          <w:rFonts w:ascii="Times New Roman" w:hAnsi="Times New Roman" w:eastAsia="楷体_GB2312"/>
          <w:sz w:val="32"/>
          <w:szCs w:val="32"/>
        </w:rPr>
        <w:t>报警、通讯联络方式</w:t>
      </w:r>
      <w:bookmarkEnd w:id="301"/>
    </w:p>
    <w:p w14:paraId="7C09ADD7">
      <w:pPr>
        <w:numPr>
          <w:ilvl w:val="2"/>
          <w:numId w:val="1"/>
        </w:numPr>
        <w:snapToGrid w:val="0"/>
        <w:spacing w:line="56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报警</w:t>
      </w:r>
    </w:p>
    <w:p w14:paraId="0F22B073">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（1）开发区应急指挥部办公室设在开发区管委会，装配数量充足的内线和外线电话、无线电和其它通讯设备以及24小时有效的报警装置，并设昼夜值班室，确保全天候值守，使信息畅通无阻。</w:t>
      </w:r>
    </w:p>
    <w:p w14:paraId="0216C170">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（2）开发区管委会值班室利用邮电公用通讯网、无线通讯网与管委会各成员单位、各街道办事处、开发区应急专家和其它社会救援力量建立通信联系。</w:t>
      </w:r>
    </w:p>
    <w:p w14:paraId="0A871645">
      <w:pPr>
        <w:numPr>
          <w:ilvl w:val="2"/>
          <w:numId w:val="1"/>
        </w:numPr>
        <w:snapToGrid w:val="0"/>
        <w:spacing w:line="56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通讯联络方式</w:t>
      </w:r>
    </w:p>
    <w:p w14:paraId="5E7F5B1B">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开发区主要企业负责人联系方式、上级政府有关部门联系方式、区域卫生医疗机构通讯录见附件。</w:t>
      </w:r>
    </w:p>
    <w:p w14:paraId="6FED202E">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外部救援通讯联络：突发环境事件应急救援专家通讯录、应急救援组织机构通讯录详见附件。</w:t>
      </w:r>
    </w:p>
    <w:p w14:paraId="2422E828">
      <w:pPr>
        <w:snapToGrid w:val="0"/>
        <w:spacing w:line="560" w:lineRule="exact"/>
        <w:ind w:firstLine="640" w:firstLineChars="200"/>
        <w:rPr>
          <w:rFonts w:ascii="Times New Roman" w:hAnsi="Times New Roman" w:eastAsia="仿宋_GB2312"/>
          <w:kern w:val="0"/>
          <w:sz w:val="32"/>
          <w:szCs w:val="32"/>
        </w:rPr>
        <w:sectPr>
          <w:pgSz w:w="11906" w:h="16838"/>
          <w:pgMar w:top="2098" w:right="1474" w:bottom="1985" w:left="1588" w:header="851" w:footer="1588" w:gutter="0"/>
          <w:cols w:space="720" w:num="1"/>
          <w:docGrid w:linePitch="312" w:charSpace="0"/>
        </w:sectPr>
      </w:pPr>
      <w:r>
        <w:rPr>
          <w:rFonts w:ascii="Times New Roman" w:hAnsi="Times New Roman" w:eastAsia="仿宋_GB2312"/>
          <w:kern w:val="0"/>
          <w:sz w:val="32"/>
          <w:szCs w:val="32"/>
        </w:rPr>
        <w:t>所有应急人员的通讯要保持24小时畅通。</w:t>
      </w:r>
    </w:p>
    <w:p w14:paraId="02E035D2">
      <w:pPr>
        <w:numPr>
          <w:ilvl w:val="0"/>
          <w:numId w:val="1"/>
        </w:numPr>
        <w:snapToGrid w:val="0"/>
        <w:spacing w:line="560" w:lineRule="exact"/>
        <w:ind w:left="0" w:firstLine="640" w:firstLineChars="200"/>
        <w:outlineLvl w:val="0"/>
        <w:rPr>
          <w:rFonts w:ascii="Times New Roman" w:hAnsi="Times New Roman" w:eastAsia="黑体"/>
          <w:sz w:val="32"/>
          <w:szCs w:val="32"/>
        </w:rPr>
      </w:pPr>
      <w:bookmarkStart w:id="302" w:name="_Toc58392453"/>
      <w:r>
        <w:rPr>
          <w:rFonts w:ascii="Times New Roman" w:hAnsi="Times New Roman" w:eastAsia="黑体"/>
          <w:sz w:val="32"/>
          <w:szCs w:val="32"/>
        </w:rPr>
        <w:t xml:space="preserve">  信息报告、上报、通报</w:t>
      </w:r>
      <w:bookmarkEnd w:id="302"/>
    </w:p>
    <w:p w14:paraId="7DED08D6">
      <w:pPr>
        <w:numPr>
          <w:ilvl w:val="1"/>
          <w:numId w:val="1"/>
        </w:numPr>
        <w:snapToGrid w:val="0"/>
        <w:spacing w:line="560" w:lineRule="exact"/>
        <w:ind w:left="0" w:firstLine="640" w:firstLineChars="200"/>
        <w:outlineLvl w:val="1"/>
        <w:rPr>
          <w:rFonts w:ascii="Times New Roman" w:hAnsi="Times New Roman" w:eastAsia="楷体_GB2312"/>
          <w:sz w:val="32"/>
          <w:szCs w:val="32"/>
        </w:rPr>
      </w:pPr>
      <w:bookmarkStart w:id="303" w:name="_Toc58392454"/>
      <w:r>
        <w:rPr>
          <w:rFonts w:ascii="Times New Roman" w:hAnsi="Times New Roman" w:eastAsia="楷体_GB2312"/>
          <w:sz w:val="32"/>
          <w:szCs w:val="32"/>
        </w:rPr>
        <w:t xml:space="preserve">  信息报告</w:t>
      </w:r>
      <w:bookmarkEnd w:id="303"/>
    </w:p>
    <w:p w14:paraId="4885C84B">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突发环境污染事故一旦发生，事故现场有关人员应当立即报告单位负责人，单位负责人接到报告后，应当立即启动本单位相应的事故应急救援预案，对事故现场进行控制和救援，应当在事故发生后1小时内以最快的方式向市生态环境局开发区分局报告，市生态环境局开发区分局接到有关污染事故的报告后，应立即上报开发区突发环境事件应急指挥部，由指挥中心领导宣布启动应急预案，召集应急指挥部各成员单位赶赴现场，迅速了解、掌握事故发生的具体地点、时间、原因、人员伤亡情况，事故涉及或影响的范围，事故发展的趋势和已采取的措施等，并迅速制定事故处理方案并组织指挥实施。</w:t>
      </w:r>
    </w:p>
    <w:p w14:paraId="1CB5C9E1">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当现场事故状态紧急，或可能发生事故后果扩大化时，现场人员可立即向环保12369、火警119、公安联动110、急救120紧急求救。</w:t>
      </w:r>
    </w:p>
    <w:p w14:paraId="1FBA9683">
      <w:pPr>
        <w:numPr>
          <w:ilvl w:val="1"/>
          <w:numId w:val="1"/>
        </w:numPr>
        <w:snapToGrid w:val="0"/>
        <w:spacing w:line="560" w:lineRule="exact"/>
        <w:ind w:left="0" w:firstLine="640" w:firstLineChars="200"/>
        <w:outlineLvl w:val="1"/>
        <w:rPr>
          <w:rFonts w:ascii="Times New Roman" w:hAnsi="Times New Roman" w:eastAsia="楷体_GB2312"/>
          <w:sz w:val="32"/>
          <w:szCs w:val="32"/>
        </w:rPr>
      </w:pPr>
      <w:bookmarkStart w:id="304" w:name="_Toc58392455"/>
      <w:r>
        <w:rPr>
          <w:rFonts w:ascii="Times New Roman" w:hAnsi="Times New Roman" w:eastAsia="楷体_GB2312"/>
          <w:sz w:val="32"/>
          <w:szCs w:val="32"/>
        </w:rPr>
        <w:t xml:space="preserve">  信息上报</w:t>
      </w:r>
      <w:bookmarkEnd w:id="304"/>
    </w:p>
    <w:p w14:paraId="0279BD2C">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市生态环境局开发区分局在发现或者得知突发环境事件信息后，应当立即进行核实，对突发环境事件的性质和类别做出初步认定。</w:t>
      </w:r>
    </w:p>
    <w:p w14:paraId="0D5995AB">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根据《突发环境事件信息报告办法》，对初步认定为企事业单位级（III级）突发环境事件的，由市生态环境局开发区分局在四小时内向连云港市生态环境局报告。</w:t>
      </w:r>
    </w:p>
    <w:p w14:paraId="5C47EEE0">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对初步认定为开发区级（II级）或者社会级（I级）突发环境事件的，由市生态环境局开发区分局在两小时内向连云港市人民政府和江苏省生态环境厅报告，同时上报国家生态环境部。江苏省生态环境厅接到报告后，应当进行核实并在一小时内报告国家生态环境部。</w:t>
      </w:r>
    </w:p>
    <w:p w14:paraId="7CFAD72B">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突发环境事件处置过程中事件级别发生变化的，应当按照变化后的级别报告信息。</w:t>
      </w:r>
    </w:p>
    <w:p w14:paraId="0D85A1D9">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发生下列一时无法判明等级的突发环境事件，市生态环境局开发区分局应当按照社会级（I级）或者开发区级（II级）突发环境事件的报告程序上报：</w:t>
      </w:r>
    </w:p>
    <w:p w14:paraId="2D45CD83">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（一）对饮用水水源保护区造成或者可能造成影响的；</w:t>
      </w:r>
    </w:p>
    <w:p w14:paraId="081E9257">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（二）涉及居民聚居区、学校、医院等敏感区域和敏感人群的；</w:t>
      </w:r>
    </w:p>
    <w:p w14:paraId="743DA64C">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（三）涉及重金属或者类金属污染的；</w:t>
      </w:r>
    </w:p>
    <w:p w14:paraId="1F282CFF">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（四）因环境污染引发群体性事件，或者社会影响较大的；</w:t>
      </w:r>
    </w:p>
    <w:p w14:paraId="78EC5A9A">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（五）市生态环境局开发区分局认为有必要报告的其他突发环境事件。</w:t>
      </w:r>
    </w:p>
    <w:p w14:paraId="61CBDA7B">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上级人民政府环境保护主管部门先于下级人民政府环境保护主管部门获悉突发环境事件信息的，可以要求下级人民政府环境保护主管部门核实并报告相应信息。</w:t>
      </w:r>
    </w:p>
    <w:p w14:paraId="3E36A946">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向生态环境部报告突发环境事件有关信息的，应当报告总值班室，同时报告生态环境部环境应急指挥领导小组办公室。生态环境部环境应急指挥领导小组办公室应当根据情况向部内相关司局通报有关信息。生态环境部在接到下级人民政府环境保护主管部门社会级（I级）或者开发区级（II级）突发环境事件以及其他有必要报告的突发环境事件信息后，应当及时向国务院总值班室和中共中央办公厅秘书局报告。</w:t>
      </w:r>
    </w:p>
    <w:p w14:paraId="464E4398">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如果是在运输过程中发生危险化学品事故，则当事人必须立即向开发区管委会及应急管理、生态环境、质监等相关部门报告，或直接拨打119、110等电话求救，接到求救信号的相关部门，必须立即向当地政府、上级政府和相关部门报告。各部门要立即赶赴事故现场。</w:t>
      </w:r>
    </w:p>
    <w:p w14:paraId="57A8838B">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危险化学品事故（泄漏或爆炸）已发生，且事态已扩大和蔓延，但事故单位或当事人未按要求及时报告事故信息，导致事发地不明，无法实施应急救援，应采取以下搜寻措施：</w:t>
      </w:r>
    </w:p>
    <w:p w14:paraId="3E36D7F7">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（1）第一时间获悉的相关个人或部门应立即报告开发区管委会或连云港市生态环境局，接到报告的上述单位应同时立即报告市政府；</w:t>
      </w:r>
    </w:p>
    <w:p w14:paraId="6A2053CE">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（2）开发区管委会应迅速落实对所辖范围内的危险化学品企业逐一进行联系、调查，电话联系不上的，要迅速派人前往；</w:t>
      </w:r>
    </w:p>
    <w:p w14:paraId="53AB353B">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（3）市生态环境局开发区分局应根据风向迅速组织力量，搜寻大气污染源；</w:t>
      </w:r>
    </w:p>
    <w:p w14:paraId="666DE4B5">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（4）公安消防部门对辖区内道路进行搜寻；</w:t>
      </w:r>
    </w:p>
    <w:p w14:paraId="1FD6E3EE">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（5）水利部门对辖区内河道进行搜寻；</w:t>
      </w:r>
    </w:p>
    <w:p w14:paraId="46ECDD83">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（6）确定目标后立即报告上级政府及相关部门。</w:t>
      </w:r>
    </w:p>
    <w:p w14:paraId="1918700C">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环境监测部门的报告：环境监测部门在常规环境质量监测过程中发现监测数据异常，应及时向市生态环境局开发区分局报告，并加大采样、监测频次。市生态环境局开发区分局召集专家组成员对监测数据进行分析，并组成调查小组对数据异常原因进行实地调查，形成结论，必要时报开发区突发环境事件应急指挥部。经调查确认环境污染事件已发生或有明显发生趋势时，开发区突发环境事件应急指挥部通知负责人立即赶赴事发现场，组织进行污染源调查、控制、转移、污染消除、人员撤离、受污染区域划定等工作，责令停止可能导致事件扩大的各种行为。应急指挥部根据反馈的信息初步确定事件级别，视情况通知开发区突发环境应急指挥部各成员单位做好应急准备。</w:t>
      </w:r>
    </w:p>
    <w:p w14:paraId="283D579B">
      <w:pPr>
        <w:numPr>
          <w:ilvl w:val="1"/>
          <w:numId w:val="1"/>
        </w:numPr>
        <w:snapToGrid w:val="0"/>
        <w:spacing w:line="560" w:lineRule="exact"/>
        <w:ind w:left="0" w:firstLine="640" w:firstLineChars="200"/>
        <w:outlineLvl w:val="1"/>
        <w:rPr>
          <w:rFonts w:ascii="Times New Roman" w:hAnsi="Times New Roman" w:eastAsia="楷体_GB2312"/>
          <w:sz w:val="32"/>
          <w:szCs w:val="32"/>
        </w:rPr>
      </w:pPr>
      <w:bookmarkStart w:id="305" w:name="_Toc58392456"/>
      <w:r>
        <w:rPr>
          <w:rFonts w:ascii="Times New Roman" w:hAnsi="Times New Roman" w:eastAsia="楷体_GB2312"/>
          <w:sz w:val="32"/>
          <w:szCs w:val="32"/>
        </w:rPr>
        <w:t xml:space="preserve">  信息通报</w:t>
      </w:r>
      <w:bookmarkEnd w:id="305"/>
    </w:p>
    <w:p w14:paraId="02C6233A">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由开发区管委会办公室或上级管理部门指定专人或部门负责对媒体和公众的信息发布，及时发布准确、权威的信息，正确引导社会舆论。</w:t>
      </w:r>
    </w:p>
    <w:p w14:paraId="43AB52D7">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对于较为复杂的事件，可分阶段发布，先简要发布基本事实。对于一般性事件，主动配合新闻宣传部门；对灾害造成的直接经济损失数字的发布，应征求评估部门的意见。对影响重大的突发事件处理结果，根据需要及时发布。</w:t>
      </w:r>
    </w:p>
    <w:p w14:paraId="65D8539B">
      <w:pPr>
        <w:numPr>
          <w:ilvl w:val="1"/>
          <w:numId w:val="1"/>
        </w:numPr>
        <w:snapToGrid w:val="0"/>
        <w:spacing w:line="560" w:lineRule="exact"/>
        <w:ind w:left="0" w:firstLine="640" w:firstLineChars="200"/>
        <w:outlineLvl w:val="1"/>
        <w:rPr>
          <w:rFonts w:ascii="Times New Roman" w:hAnsi="Times New Roman" w:eastAsia="楷体_GB2312"/>
          <w:sz w:val="32"/>
          <w:szCs w:val="32"/>
        </w:rPr>
      </w:pPr>
      <w:bookmarkStart w:id="306" w:name="_Toc58392457"/>
      <w:r>
        <w:rPr>
          <w:rFonts w:ascii="Times New Roman" w:hAnsi="Times New Roman" w:eastAsia="楷体_GB2312"/>
          <w:sz w:val="32"/>
          <w:szCs w:val="32"/>
        </w:rPr>
        <w:t xml:space="preserve">  报告内容</w:t>
      </w:r>
      <w:bookmarkEnd w:id="306"/>
    </w:p>
    <w:p w14:paraId="5D07C2F1">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突发环境污染事件的报告分为初报、续报和处理结果报告。</w:t>
      </w:r>
    </w:p>
    <w:p w14:paraId="44D4D7EE">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初报在发现或者得知突发环境事件后首次上报；续报在查清有关基本情况、事件发展情况后随时上报；处理结果报告在突发环境事件处理完毕后上报。</w:t>
      </w:r>
    </w:p>
    <w:p w14:paraId="63C26E03">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初报应当报告突发环境事件的发生时间、地点、信息来源、事件起因和性质、基本过程、主要污染物和数量、监测数据、人员受害情况、饮用水水源地等环境敏感点受影响情况、事件发展趋势、处置情况、拟采取的措施以及下一步工作建议等初步情况，并提供可能受到突发环境事件影响的环境敏感点的分布示意图。</w:t>
      </w:r>
    </w:p>
    <w:p w14:paraId="3841B3A8">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续报应当在初报的基础上，报告有关处置进展情况。</w:t>
      </w:r>
    </w:p>
    <w:p w14:paraId="510953FB">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处理结果报告应当在初报和续报的基础上，报告处理突发环境事件的措施、过程和结果，突发环境事件潜在或者间接危害以及损失、社会影响、处理后的遗留问题、责任追究等详细情况。</w:t>
      </w:r>
    </w:p>
    <w:p w14:paraId="5A2741CE">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突发环境事件信息应当采用传真、网络、邮寄和面呈等方式书面报告；情况紧急时，初报可通过电话报告，但应当及时补充书面报告。</w:t>
      </w:r>
    </w:p>
    <w:p w14:paraId="574B3944">
      <w:pPr>
        <w:snapToGrid w:val="0"/>
        <w:spacing w:line="560" w:lineRule="exact"/>
        <w:ind w:firstLine="640" w:firstLineChars="200"/>
        <w:rPr>
          <w:rFonts w:ascii="Times New Roman" w:hAnsi="Times New Roman" w:eastAsia="仿宋_GB2312"/>
          <w:kern w:val="0"/>
          <w:sz w:val="32"/>
          <w:szCs w:val="32"/>
        </w:rPr>
        <w:sectPr>
          <w:pgSz w:w="11906" w:h="16838"/>
          <w:pgMar w:top="2098" w:right="1474" w:bottom="1985" w:left="1588" w:header="851" w:footer="1588" w:gutter="0"/>
          <w:cols w:space="720" w:num="1"/>
          <w:docGrid w:linePitch="312" w:charSpace="0"/>
        </w:sectPr>
      </w:pPr>
      <w:r>
        <w:rPr>
          <w:rFonts w:ascii="Times New Roman" w:hAnsi="Times New Roman" w:eastAsia="仿宋_GB2312"/>
          <w:kern w:val="0"/>
          <w:sz w:val="32"/>
          <w:szCs w:val="32"/>
        </w:rPr>
        <w:t>书面报告中应当载明突发环境事件报告单位、报告签发人、联系人及联系方式等内容，并尽可能提供地图、图片以及相关的多媒体资料。</w:t>
      </w:r>
    </w:p>
    <w:p w14:paraId="262E2208">
      <w:pPr>
        <w:numPr>
          <w:ilvl w:val="0"/>
          <w:numId w:val="1"/>
        </w:numPr>
        <w:snapToGrid w:val="0"/>
        <w:spacing w:line="520" w:lineRule="exact"/>
        <w:ind w:left="0" w:firstLine="640" w:firstLineChars="200"/>
        <w:outlineLvl w:val="0"/>
        <w:rPr>
          <w:rFonts w:ascii="Times New Roman" w:hAnsi="Times New Roman" w:eastAsia="黑体"/>
          <w:sz w:val="32"/>
          <w:szCs w:val="32"/>
        </w:rPr>
      </w:pPr>
      <w:bookmarkStart w:id="307" w:name="_Toc58392458"/>
      <w:r>
        <w:rPr>
          <w:rFonts w:ascii="Times New Roman" w:hAnsi="Times New Roman" w:eastAsia="黑体"/>
          <w:sz w:val="32"/>
          <w:szCs w:val="32"/>
        </w:rPr>
        <w:t xml:space="preserve">  应急响应和救援措施</w:t>
      </w:r>
      <w:bookmarkEnd w:id="307"/>
    </w:p>
    <w:p w14:paraId="5082B706">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08" w:name="_Toc58392459"/>
      <w:r>
        <w:rPr>
          <w:rFonts w:ascii="Times New Roman" w:hAnsi="Times New Roman" w:eastAsia="楷体_GB2312"/>
          <w:sz w:val="32"/>
          <w:szCs w:val="32"/>
        </w:rPr>
        <w:t xml:space="preserve">  分级响应机制</w:t>
      </w:r>
      <w:bookmarkEnd w:id="308"/>
    </w:p>
    <w:p w14:paraId="63A64F8F">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突发环境事件应急响应坚持属地管理原则，事故发生后，发生事故的企业应立即启动公司级应急预案，并及时上报市生态环境局开发区分局。市生态环境局开发区分局上报至开发区突发环境事件应急指挥部，并根据事故灾难范围及险情的严重程度启动相应的应急预案。若事故超出本级应急救援处置能力时，应及时报请上一级应急救援指挥机构请求上一级应急救援。</w:t>
      </w:r>
    </w:p>
    <w:p w14:paraId="68DC1960">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按突发环境事件的可控性、严重程度和影响范围，将开发区内突发环境事件的应急响应分为一级响应（社会级）、二级响应（开发区级）和三级响应（企事业单位级）。</w:t>
      </w:r>
    </w:p>
    <w:p w14:paraId="0D001711">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I级响应（社会级）：突发环境事件的范围超出开发区范围或污染的范围在开发区内，但开发区已不能独立处理，为了防止事件扩大，需要调动外部力量。一级应急响应立即报告连云港市人民政府，在上一级救援机构达到之前做好先期处置，达到后服从上一级应急救援指挥机构的指挥。</w:t>
      </w:r>
    </w:p>
    <w:p w14:paraId="1B05892E">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II级响应（开发区级）：突发环境事件的范围在开发区内且开发区能独立处理。二级响应由开发区突发环境事件应急指挥部总指挥负责应急指挥，组织相关应急小组开展应急工作。</w:t>
      </w:r>
    </w:p>
    <w:p w14:paraId="6BF34A39">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III级响应（企事业单位级）：突发环境事件的范围在企事业单位内且企事业单位能独立处理。三级响应由企事业单位负责应急指挥，组织相关应急小组开展应急工作，并及时将事件信息上报开发区突发环境事件应急指挥部。</w:t>
      </w:r>
    </w:p>
    <w:p w14:paraId="0277D7BA">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响应流程见图8.1-1。</w:t>
      </w:r>
    </w:p>
    <w:p w14:paraId="3DAF6732">
      <w:pPr>
        <w:snapToGrid w:val="0"/>
        <w:jc w:val="center"/>
        <w:rPr>
          <w:rFonts w:ascii="Times New Roman" w:hAnsi="Times New Roman" w:eastAsia="仿宋_GB2312"/>
          <w:bCs/>
          <w:kern w:val="0"/>
          <w:sz w:val="32"/>
          <w:szCs w:val="32"/>
        </w:rPr>
      </w:pPr>
      <w:r>
        <w:rPr>
          <w:rFonts w:ascii="Times New Roman" w:hAnsi="Times New Roman" w:eastAsia="宋体"/>
          <w:sz w:val="32"/>
          <w:szCs w:val="32"/>
        </w:rPr>
        <w:object>
          <v:shape id="_x0000_i1027" o:spt="75" type="#_x0000_t75" style="height:310.05pt;width:432pt;" o:ole="t" filled="f" o:preferrelative="t" stroked="f" coordsize="21600,21600">
            <v:path/>
            <v:fill on="f" focussize="0,0"/>
            <v:stroke on="f" joinstyle="miter"/>
            <v:imagedata r:id="rId35" o:title=""/>
            <o:lock v:ext="edit" aspectratio="t"/>
            <w10:wrap type="none"/>
            <w10:anchorlock/>
          </v:shape>
          <o:OLEObject Type="Embed" ProgID="Visio.Drawing.15" ShapeID="_x0000_i1027" DrawAspect="Content" ObjectID="_1468075727" r:id="rId34">
            <o:LockedField>false</o:LockedField>
          </o:OLEObject>
        </w:object>
      </w:r>
      <w:r>
        <w:rPr>
          <w:rFonts w:ascii="Times New Roman" w:hAnsi="Times New Roman" w:eastAsia="仿宋_GB2312"/>
          <w:bCs/>
          <w:kern w:val="0"/>
          <w:sz w:val="32"/>
          <w:szCs w:val="32"/>
        </w:rPr>
        <w:t>图8.1-1   开发区突发环境事件分级响应流程图</w:t>
      </w:r>
    </w:p>
    <w:p w14:paraId="5AF22BAC">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09" w:name="_Toc58392460"/>
      <w:r>
        <w:rPr>
          <w:rFonts w:ascii="Times New Roman" w:hAnsi="Times New Roman" w:eastAsia="楷体_GB2312"/>
          <w:sz w:val="32"/>
          <w:szCs w:val="32"/>
        </w:rPr>
        <w:t xml:space="preserve">  应急响应程序</w:t>
      </w:r>
      <w:bookmarkEnd w:id="309"/>
    </w:p>
    <w:p w14:paraId="42A8B657">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III级——企事业单位级突发环境事故</w:t>
      </w:r>
    </w:p>
    <w:p w14:paraId="3E8EE21F">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（1）指挥调度程序</w:t>
      </w:r>
    </w:p>
    <w:p w14:paraId="49229E96">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企事业单位级突发环境事故发生后，立即启动公司突发环境事件应急预案，同时上报市生态环境局开发区分局，启动III级响应，时刻关注事故情形，直至事故由企业自行处置结束。</w:t>
      </w:r>
    </w:p>
    <w:p w14:paraId="5A3E494F">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（2）处置流程</w:t>
      </w:r>
    </w:p>
    <w:p w14:paraId="31D39359">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当发生企事业单位级突发环境事故时，首先由企业按公司应急预案的相关要求，自发组织救援力量，依照企业各自的突发环境事件应急预案展开事故处置工作。</w:t>
      </w:r>
    </w:p>
    <w:p w14:paraId="5D185EFC">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若企业自身已无法控制，则事件升级，响应升级。</w:t>
      </w:r>
    </w:p>
    <w:p w14:paraId="6BA543C1">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II级——开发区突发环境事故</w:t>
      </w:r>
    </w:p>
    <w:p w14:paraId="35360168">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（1）指挥调度程序</w:t>
      </w:r>
    </w:p>
    <w:p w14:paraId="7E67E40D">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若突发环境事件发生后即涉及多个厂区；或企事业级突发环境事件发生后已启动III级响应，但事故未得到控制，进一步扩散，企事业单位依靠自身力量已无法应对，则由市生态环境局开发区分局上报开发区突发环境事件应急指挥部，由指挥中心启动开发区突发环境事件应急预案，同时成立现场指挥部，负责事故指挥工作。</w:t>
      </w:r>
    </w:p>
    <w:p w14:paraId="14541881">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（2）处置流程</w:t>
      </w:r>
    </w:p>
    <w:p w14:paraId="14FA5EFB">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突发环境事件发生后，首先由事发或相关企业组织救援力量依照企业各自的突发环境事件应急预案先期开展应急处置或人员疏散工作，并报市生态环境局开发区分局。市生态环境局开发区分局核实事故信息后，上报开发区突发环境事件应急指挥部。确实事故为开发区级突发环境事故后，应急指挥部立即启动区域II级响应，同时成立现场应急指挥部，调动应急管理、生态环境、公安消防、医疗等相关部门赶赴现场，展开事故处置工作。</w:t>
      </w:r>
    </w:p>
    <w:p w14:paraId="3C41C29B">
      <w:pPr>
        <w:numPr>
          <w:ilvl w:val="2"/>
          <w:numId w:val="1"/>
        </w:numPr>
        <w:snapToGrid w:val="0"/>
        <w:spacing w:line="520" w:lineRule="exact"/>
        <w:ind w:left="0" w:firstLine="0"/>
        <w:outlineLvl w:val="2"/>
        <w:rPr>
          <w:rFonts w:ascii="Times New Roman" w:hAnsi="Times New Roman" w:eastAsia="仿宋_GB2312"/>
          <w:kern w:val="0"/>
          <w:sz w:val="32"/>
          <w:szCs w:val="32"/>
        </w:rPr>
      </w:pPr>
      <w:r>
        <w:rPr>
          <w:rFonts w:hint="eastAsia" w:ascii="宋体" w:hAnsi="宋体" w:eastAsia="宋体" w:cs="宋体"/>
          <w:kern w:val="0"/>
          <w:sz w:val="32"/>
          <w:szCs w:val="32"/>
        </w:rPr>
        <w:t>Ⅰ</w:t>
      </w:r>
      <w:r>
        <w:rPr>
          <w:rFonts w:ascii="Times New Roman" w:hAnsi="Times New Roman" w:eastAsia="仿宋_GB2312"/>
          <w:kern w:val="0"/>
          <w:sz w:val="32"/>
          <w:szCs w:val="32"/>
        </w:rPr>
        <w:t>级——社会级突发环境污染事故</w:t>
      </w:r>
    </w:p>
    <w:p w14:paraId="39CD3B18">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（1）指挥调度程序</w:t>
      </w:r>
    </w:p>
    <w:p w14:paraId="39D9DC26">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社会级突发环境事件发生后，事发或周边企业应在第一时间上报市生态环境局开发区分局，市生态环境局开发区分局核实事故信息后立即上报开发区突发环境事件应急指挥部，由指挥中心按照《突发环境事件信息报告办法》的要求，及时上报事故信息。同时，请求周边区县人民政府或连云港市政府调配相关人员、物资、设备及时参与救援工作。</w:t>
      </w:r>
    </w:p>
    <w:p w14:paraId="764EBB70">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（2）处置流程</w:t>
      </w:r>
    </w:p>
    <w:p w14:paraId="55742F09">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当发生社会级突发环境事件时，由企业应急力量予以先期处置。开发区突发环境事件应急指挥部先行派出应急力量到达现场后组成现场应急指挥部，各应急力量一律服从现场应急指挥部的统一指挥；待省、市应急中心派出力量到达现场后，应急力量一律服从市应急中心的统一指挥。与此同时，连云港市突发环境事件应急指挥部视事件影响程度及救援进程，若开发区及区内企业应急物资储备量无法满足救援要求，可请求周边友邻单位求助。</w:t>
      </w:r>
    </w:p>
    <w:p w14:paraId="6E6826C2">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10" w:name="_Toc58392461"/>
      <w:r>
        <w:rPr>
          <w:rFonts w:ascii="Times New Roman" w:hAnsi="Times New Roman" w:eastAsia="楷体_GB2312"/>
          <w:sz w:val="32"/>
          <w:szCs w:val="32"/>
        </w:rPr>
        <w:t xml:space="preserve">  应急救援</w:t>
      </w:r>
      <w:bookmarkEnd w:id="310"/>
    </w:p>
    <w:p w14:paraId="3DC95872">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现场应急措施</w:t>
      </w:r>
    </w:p>
    <w:p w14:paraId="3235CA09">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根据污染物的性质，事件类型、可控性、严重程度和影响范围，结合事件发生企业的应急预案作出应急响应措施。</w:t>
      </w:r>
    </w:p>
    <w:p w14:paraId="46E4DADE">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突发环境事件发生后，责任单位按照相应的应急预案进行先期处置，果断控制污染源，全力控制事件态势，严防二次污染和次生衍生事件发生。</w:t>
      </w:r>
    </w:p>
    <w:p w14:paraId="6ED56F36">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现场处置</w:t>
      </w:r>
    </w:p>
    <w:p w14:paraId="289A6F27">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突发环境事件应急指挥部成立现场应急指挥部，负责组织协调突发环境事件的现场处置工作。现场处置主要依靠当地应急处置力量，实行开发区、企业二级联动。参加应急处置工作的有关部门要相互支持，密切配合，按照职责分工，接受统一指挥调遣，积极开展工作。</w:t>
      </w:r>
    </w:p>
    <w:p w14:paraId="2740C5CA">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（1）事故发生后，最早发现者应立即报告车间（部门）负责人（如经判断，情况严重着可在报告部门负责人后直接报12369、119、110），并立即向企业应急指挥部报警。</w:t>
      </w:r>
    </w:p>
    <w:p w14:paraId="37F9BBEE">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（2）企业应急指挥部接到报警后，应立即启动企业应急预案，组织开展事故救援行动，同时向市生态环境局开发区分局。</w:t>
      </w:r>
    </w:p>
    <w:p w14:paraId="17EC2C82">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市生态环境局开发区分局立即上报开发区突发环境事件应急指挥部，中心应及时跟踪事故发展状况，如事故超出企业自身控制范围或者事故有扩大倾向，则应启动相应级别的应急预案，由开发区突发环境事件应急指挥部统一指挥组织应急救援行动。</w:t>
      </w:r>
    </w:p>
    <w:p w14:paraId="6A41614B">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（4）开发区突发环境事件应急指挥部根据事故状态及危害程度，作出相应的应急决定，由应急指挥部命令各应急救援队伍立即开展救援，并积极向上级有关部门报告事故处理情况。</w:t>
      </w:r>
    </w:p>
    <w:p w14:paraId="04D30963">
      <w:pPr>
        <w:pStyle w:val="6"/>
        <w:snapToGrid w:val="0"/>
        <w:spacing w:before="0" w:after="0" w:line="520" w:lineRule="exact"/>
        <w:ind w:left="0" w:firstLine="640" w:firstLineChars="200"/>
        <w:rPr>
          <w:rFonts w:eastAsia="仿宋_GB2312"/>
          <w:sz w:val="32"/>
          <w:szCs w:val="32"/>
        </w:rPr>
      </w:pPr>
      <w:r>
        <w:rPr>
          <w:rFonts w:eastAsia="仿宋_GB2312"/>
          <w:sz w:val="32"/>
          <w:szCs w:val="32"/>
        </w:rPr>
        <w:t>危险区与隔离区的划分</w:t>
      </w:r>
    </w:p>
    <w:p w14:paraId="4E057080">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（1）危险区的划分</w:t>
      </w:r>
    </w:p>
    <w:p w14:paraId="2C475AA9">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根据危险化学品事故的危害范围、危害程度与危险化学品事故源的位置划分事故中心区域、事故波及区及事故可能影响区域的范围。</w:t>
      </w:r>
    </w:p>
    <w:p w14:paraId="768585A9">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①</w:t>
      </w:r>
      <w:r>
        <w:rPr>
          <w:rFonts w:ascii="Times New Roman" w:hAnsi="Times New Roman" w:eastAsia="仿宋_GB2312"/>
          <w:kern w:val="0"/>
          <w:sz w:val="32"/>
          <w:szCs w:val="32"/>
        </w:rPr>
        <w:t>事故中心区域</w:t>
      </w:r>
    </w:p>
    <w:p w14:paraId="54191A2A">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中心区即距事故现场0-500m的区域。此区域危险化学品浓度指标高，有危险化学品扩散，并伴有爆炸、火灾发生，建筑物设施及设备损坏，人员急性中毒。</w:t>
      </w:r>
    </w:p>
    <w:p w14:paraId="081D66E9">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事故中心区的救援人员需要全身防护，并佩戴隔绝式面具。救援工作包括切断事故源、抢救伤员、保护和转移其它危险化学品、清除渗漏液态毒物、进行局部的空间洗消及封闭现场等。非抢险人员撤离到中心区域以外后应清点人数，并进行登记。事故中心区域边界应有明显警戒标志。</w:t>
      </w:r>
    </w:p>
    <w:p w14:paraId="68A76E9F">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②</w:t>
      </w:r>
      <w:r>
        <w:rPr>
          <w:rFonts w:ascii="Times New Roman" w:hAnsi="Times New Roman" w:eastAsia="仿宋_GB2312"/>
          <w:kern w:val="0"/>
          <w:sz w:val="32"/>
          <w:szCs w:val="32"/>
        </w:rPr>
        <w:t>事故波及区域</w:t>
      </w:r>
    </w:p>
    <w:p w14:paraId="549F19BF">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事故波及区即距事故现场500-1000m的区域。该区域空气中危险化学品浓度较高，作用时间较长，有可能发生人员或物品的伤害或损坏。</w:t>
      </w:r>
    </w:p>
    <w:p w14:paraId="0F2158C1">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该区域的救援工作主要是指导防护、监测污染情况，控制交通，组织排除滞留危险化学品气体。视事故实际情况组织人员疏散转移。事故波及区域人员撤离到该区域以外后应清点人数，并进行登记。事故波及区域边界应有明显警戒标志。</w:t>
      </w:r>
    </w:p>
    <w:p w14:paraId="6D3DFD20">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③</w:t>
      </w:r>
      <w:r>
        <w:rPr>
          <w:rFonts w:ascii="Times New Roman" w:hAnsi="Times New Roman" w:eastAsia="仿宋_GB2312"/>
          <w:kern w:val="0"/>
          <w:sz w:val="32"/>
          <w:szCs w:val="32"/>
        </w:rPr>
        <w:t>事故可能影响区域</w:t>
      </w:r>
    </w:p>
    <w:p w14:paraId="2F280E86">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事故可能影响区域是指事故波及区外可能受影响的区域，其范围应视现场事故情况和气象条件而定，该区可能有从中心区和波及区扩散的小剂量危险化学品危害。</w:t>
      </w:r>
    </w:p>
    <w:p w14:paraId="6D97349B">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该区救援工作重点放在及时指导群众进行防护，对群众进行有关知识的宣传，稳定群众的思想情绪，做基本应急准备。</w:t>
      </w:r>
    </w:p>
    <w:p w14:paraId="0F4DEC39">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④</w:t>
      </w:r>
      <w:r>
        <w:rPr>
          <w:rFonts w:ascii="Times New Roman" w:hAnsi="Times New Roman" w:eastAsia="仿宋_GB2312"/>
          <w:kern w:val="0"/>
          <w:sz w:val="32"/>
          <w:szCs w:val="32"/>
        </w:rPr>
        <w:t>安全区域</w:t>
      </w:r>
    </w:p>
    <w:p w14:paraId="7B6BD082">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是指不会受事故影响的区域。</w:t>
      </w:r>
    </w:p>
    <w:p w14:paraId="2CDF2A90">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以上区域距事故现场距离的确定一般原则：特殊危化品事故或在不同气象条件（事故现场风向风力等）下发生的危化品事故应视当时事故的特殊性确定相应的区域范围。</w:t>
      </w:r>
    </w:p>
    <w:p w14:paraId="5FC4A006">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（2）现场隔离区的划分</w:t>
      </w:r>
    </w:p>
    <w:p w14:paraId="093E7AFB">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①</w:t>
      </w:r>
      <w:r>
        <w:rPr>
          <w:rFonts w:ascii="Times New Roman" w:hAnsi="Times New Roman" w:eastAsia="仿宋_GB2312"/>
          <w:kern w:val="0"/>
          <w:sz w:val="32"/>
          <w:szCs w:val="32"/>
        </w:rPr>
        <w:t>根据事故大小、类别、级别设定危险区隔离范围；警戒区域的边界应设警示标志并有专人警戒。</w:t>
      </w:r>
    </w:p>
    <w:p w14:paraId="19FCF24D">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②</w:t>
      </w:r>
      <w:r>
        <w:rPr>
          <w:rFonts w:ascii="Times New Roman" w:hAnsi="Times New Roman" w:eastAsia="仿宋_GB2312"/>
          <w:kern w:val="0"/>
          <w:sz w:val="32"/>
          <w:szCs w:val="32"/>
        </w:rPr>
        <w:t>除消防及突发环境事件应急救援人员外，其他人员禁止进入警戒区。</w:t>
      </w:r>
    </w:p>
    <w:p w14:paraId="5AE63821">
      <w:pPr>
        <w:pStyle w:val="6"/>
        <w:snapToGrid w:val="0"/>
        <w:spacing w:before="0" w:after="0" w:line="520" w:lineRule="exact"/>
        <w:ind w:left="0" w:firstLine="640" w:firstLineChars="200"/>
        <w:rPr>
          <w:rFonts w:eastAsia="仿宋_GB2312"/>
          <w:sz w:val="32"/>
          <w:szCs w:val="32"/>
        </w:rPr>
      </w:pPr>
      <w:r>
        <w:rPr>
          <w:rFonts w:eastAsia="仿宋_GB2312"/>
          <w:sz w:val="32"/>
          <w:szCs w:val="32"/>
        </w:rPr>
        <w:t>人员撤离与疏散</w:t>
      </w:r>
    </w:p>
    <w:p w14:paraId="44A3F8F8">
      <w:pPr>
        <w:snapToGrid w:val="0"/>
        <w:spacing w:line="520" w:lineRule="exact"/>
        <w:ind w:firstLine="640" w:firstLineChars="200"/>
        <w:rPr>
          <w:rFonts w:ascii="Times New Roman" w:hAnsi="Times New Roman" w:eastAsia="仿宋_GB2312"/>
          <w:kern w:val="0"/>
          <w:sz w:val="32"/>
          <w:szCs w:val="32"/>
        </w:rPr>
      </w:pPr>
      <w:bookmarkStart w:id="311" w:name="_Toc144090636"/>
      <w:bookmarkStart w:id="312" w:name="_Toc147223153"/>
      <w:bookmarkStart w:id="313" w:name="_Toc173569947"/>
      <w:bookmarkStart w:id="314" w:name="_Toc186202216"/>
      <w:bookmarkStart w:id="315" w:name="_Toc213578983"/>
      <w:bookmarkStart w:id="316" w:name="_Toc166658823"/>
      <w:bookmarkStart w:id="317" w:name="_Toc186202120"/>
      <w:r>
        <w:rPr>
          <w:rFonts w:ascii="Times New Roman" w:hAnsi="Times New Roman" w:eastAsia="仿宋_GB2312"/>
          <w:kern w:val="0"/>
          <w:sz w:val="32"/>
          <w:szCs w:val="32"/>
        </w:rPr>
        <w:t>（1）撤离路线</w:t>
      </w:r>
      <w:bookmarkEnd w:id="311"/>
      <w:bookmarkEnd w:id="312"/>
      <w:r>
        <w:rPr>
          <w:rFonts w:ascii="Times New Roman" w:hAnsi="Times New Roman" w:eastAsia="仿宋_GB2312"/>
          <w:kern w:val="0"/>
          <w:sz w:val="32"/>
          <w:szCs w:val="32"/>
        </w:rPr>
        <w:t>确定</w:t>
      </w:r>
      <w:bookmarkEnd w:id="313"/>
      <w:bookmarkEnd w:id="314"/>
      <w:bookmarkEnd w:id="315"/>
      <w:bookmarkEnd w:id="316"/>
      <w:bookmarkEnd w:id="317"/>
    </w:p>
    <w:p w14:paraId="4EC75A8C">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现场应急指挥部紧急疏散的需要，可以征用机关、学校、文化场所、娱乐设施，必要时也可征用经营性宾馆、招待所、酒店作为临时避难场所，并确保疏散人员生活所需，如饮用水、食品和棉被等。</w:t>
      </w:r>
    </w:p>
    <w:p w14:paraId="0F8A78C3">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疏散、撤离路线应依据事故发生的场所，设施及周围情况、化学品的性质和危害程度，以及当时的风向等气象情况由现场应急指挥部确定。</w:t>
      </w:r>
    </w:p>
    <w:p w14:paraId="71E1FA79">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（2）人员撤离方式方法</w:t>
      </w:r>
    </w:p>
    <w:p w14:paraId="100F94D8">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在现场应急指挥部统一指挥下，对与事故应急救援无关的人员进行紧急疏散。疏散的方向、距离和集中地点，必须根据不同事故，做出具体规定，总的原则是疏散安全点处于当时的上风向。对可能威胁到厂外居民（包括友邻单位人员）安全时，指挥部应立即和地方有关部门联系，引导居民迅速撤离到安全地点。</w:t>
      </w:r>
    </w:p>
    <w:p w14:paraId="46B1B0BC">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紧急疏散时应注意：</w:t>
      </w:r>
    </w:p>
    <w:p w14:paraId="3656DBF8">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①</w:t>
      </w:r>
      <w:r>
        <w:rPr>
          <w:rFonts w:ascii="Times New Roman" w:hAnsi="Times New Roman" w:eastAsia="仿宋_GB2312"/>
          <w:kern w:val="0"/>
          <w:sz w:val="32"/>
          <w:szCs w:val="32"/>
        </w:rPr>
        <w:t>如事故物质有毒时，需要佩戴个体防护用品，并有相应的监护措施；</w:t>
      </w:r>
    </w:p>
    <w:p w14:paraId="300ED0BE">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②</w:t>
      </w:r>
      <w:r>
        <w:rPr>
          <w:rFonts w:ascii="Times New Roman" w:hAnsi="Times New Roman" w:eastAsia="仿宋_GB2312"/>
          <w:kern w:val="0"/>
          <w:sz w:val="32"/>
          <w:szCs w:val="32"/>
        </w:rPr>
        <w:t>应向上风方向转移；明确专人引导和护送疏散人员到安全区，逐一清点人数，并在疏散或撤离的路线上设立哨位，指明方向；</w:t>
      </w:r>
    </w:p>
    <w:p w14:paraId="53C10D7E">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③</w:t>
      </w:r>
      <w:r>
        <w:rPr>
          <w:rFonts w:ascii="Times New Roman" w:hAnsi="Times New Roman" w:eastAsia="仿宋_GB2312"/>
          <w:kern w:val="0"/>
          <w:sz w:val="32"/>
          <w:szCs w:val="32"/>
        </w:rPr>
        <w:t>不要在低洼处滞留；</w:t>
      </w:r>
    </w:p>
    <w:p w14:paraId="41DD8F83">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④</w:t>
      </w:r>
      <w:r>
        <w:rPr>
          <w:rFonts w:ascii="Times New Roman" w:hAnsi="Times New Roman" w:eastAsia="仿宋_GB2312"/>
          <w:kern w:val="0"/>
          <w:sz w:val="32"/>
          <w:szCs w:val="32"/>
        </w:rPr>
        <w:t>要查清是否有人留在污染区与着火区等其他危险区域；</w:t>
      </w:r>
    </w:p>
    <w:p w14:paraId="28429684">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⑤</w:t>
      </w:r>
      <w:r>
        <w:rPr>
          <w:rFonts w:ascii="Times New Roman" w:hAnsi="Times New Roman" w:eastAsia="仿宋_GB2312"/>
          <w:kern w:val="0"/>
          <w:sz w:val="32"/>
          <w:szCs w:val="32"/>
        </w:rPr>
        <w:t>如有没有及时撤离人员，应由配戴适宜防护装备的抢险队员两人进入现场搜寻，并实施救助。</w:t>
      </w:r>
    </w:p>
    <w:p w14:paraId="09E67238">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⑥</w:t>
      </w:r>
      <w:r>
        <w:rPr>
          <w:rFonts w:ascii="Times New Roman" w:hAnsi="Times New Roman" w:eastAsia="仿宋_GB2312"/>
          <w:kern w:val="0"/>
          <w:sz w:val="32"/>
          <w:szCs w:val="32"/>
        </w:rPr>
        <w:t>根据事故发生情况及当时风向、风速，由指挥中心决定通知扩散区域内的群众撒离，并做好疏散、道路管制工作。</w:t>
      </w:r>
    </w:p>
    <w:p w14:paraId="725F0911">
      <w:pPr>
        <w:snapToGrid w:val="0"/>
        <w:spacing w:line="520" w:lineRule="exact"/>
        <w:ind w:firstLine="640" w:firstLineChars="200"/>
        <w:rPr>
          <w:rFonts w:ascii="Times New Roman" w:hAnsi="Times New Roman" w:eastAsia="仿宋_GB2312"/>
          <w:kern w:val="0"/>
          <w:sz w:val="32"/>
          <w:szCs w:val="32"/>
        </w:rPr>
      </w:pPr>
      <w:bookmarkStart w:id="318" w:name="_Toc186202121"/>
      <w:bookmarkStart w:id="319" w:name="_Toc173569948"/>
      <w:bookmarkStart w:id="320" w:name="_Toc213578984"/>
      <w:bookmarkStart w:id="321" w:name="_Toc166658824"/>
      <w:bookmarkStart w:id="322" w:name="_Toc186202217"/>
      <w:bookmarkStart w:id="323" w:name="_Toc147223154"/>
      <w:bookmarkStart w:id="324" w:name="_Toc144090637"/>
      <w:r>
        <w:rPr>
          <w:rFonts w:ascii="Times New Roman" w:hAnsi="Times New Roman" w:eastAsia="仿宋_GB2312"/>
          <w:kern w:val="0"/>
          <w:sz w:val="32"/>
          <w:szCs w:val="32"/>
        </w:rPr>
        <w:t>（3）周边企业人员的紧急疏散</w:t>
      </w:r>
      <w:bookmarkEnd w:id="318"/>
      <w:bookmarkEnd w:id="319"/>
      <w:bookmarkEnd w:id="320"/>
      <w:bookmarkEnd w:id="321"/>
      <w:bookmarkEnd w:id="322"/>
    </w:p>
    <w:p w14:paraId="4A976BF8">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现场应急指挥部应根据事故可能扩大的范围和当时气象条件，抢险进展情况及预计延展趋势，综合分析判断，对可能受到影响的企业生产装置决定是否紧急停车和疏散人员，并向他们通报这一决定。防止引起恐慌或引发派生事故。</w:t>
      </w:r>
    </w:p>
    <w:bookmarkEnd w:id="323"/>
    <w:bookmarkEnd w:id="324"/>
    <w:p w14:paraId="7C8C3462">
      <w:pPr>
        <w:snapToGrid w:val="0"/>
        <w:spacing w:line="520" w:lineRule="exact"/>
        <w:ind w:firstLine="640" w:firstLineChars="200"/>
        <w:rPr>
          <w:rFonts w:ascii="Times New Roman" w:hAnsi="Times New Roman" w:eastAsia="仿宋_GB2312"/>
          <w:kern w:val="0"/>
          <w:sz w:val="32"/>
          <w:szCs w:val="32"/>
        </w:rPr>
      </w:pPr>
      <w:bookmarkStart w:id="325" w:name="_Toc173569949"/>
      <w:bookmarkStart w:id="326" w:name="_Toc186202218"/>
      <w:bookmarkStart w:id="327" w:name="_Toc213578985"/>
      <w:bookmarkStart w:id="328" w:name="_Toc186202122"/>
      <w:bookmarkStart w:id="329" w:name="_Toc166658825"/>
      <w:bookmarkStart w:id="330" w:name="_Toc147223155"/>
      <w:bookmarkStart w:id="331" w:name="_Toc144090638"/>
      <w:r>
        <w:rPr>
          <w:rFonts w:ascii="Times New Roman" w:hAnsi="Times New Roman" w:eastAsia="仿宋_GB2312"/>
          <w:kern w:val="0"/>
          <w:sz w:val="32"/>
          <w:szCs w:val="32"/>
        </w:rPr>
        <w:t>（4）其他人员的疏散</w:t>
      </w:r>
      <w:bookmarkEnd w:id="325"/>
      <w:bookmarkEnd w:id="326"/>
      <w:bookmarkEnd w:id="327"/>
      <w:bookmarkEnd w:id="328"/>
      <w:bookmarkEnd w:id="329"/>
    </w:p>
    <w:p w14:paraId="674347BC">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事故的危害特性和事故的涉及或影响范围，由应急救援指挥中心决定是否需要向周边地区发布信息，并与当地有关部门联系。如决定对周边区域的村落进行疏散时，立即组织广播车辆和专业人员协助公安及其他政府有关部门的人员进行动员和疏导，使周边区域的人员安全疏散。</w:t>
      </w:r>
      <w:bookmarkEnd w:id="330"/>
      <w:bookmarkEnd w:id="331"/>
    </w:p>
    <w:p w14:paraId="30787510">
      <w:pPr>
        <w:pStyle w:val="6"/>
        <w:snapToGrid w:val="0"/>
        <w:spacing w:before="0" w:after="0" w:line="520" w:lineRule="exact"/>
        <w:ind w:left="0" w:firstLine="640" w:firstLineChars="200"/>
        <w:rPr>
          <w:rFonts w:eastAsia="仿宋_GB2312"/>
          <w:sz w:val="32"/>
          <w:szCs w:val="32"/>
        </w:rPr>
      </w:pPr>
      <w:r>
        <w:rPr>
          <w:rFonts w:eastAsia="仿宋_GB2312"/>
          <w:sz w:val="32"/>
          <w:szCs w:val="32"/>
        </w:rPr>
        <w:t>火灾、爆炸事故处置措施</w:t>
      </w:r>
    </w:p>
    <w:p w14:paraId="08EFE365">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当市生态环境局开发区分局接到开发区企业内发生火灾、爆炸警报信息后，首先，应询问和纪录报警人的位置、姓名，简要的描述紧急情况的程度和所需要的帮助类型及引起火灾、爆炸相关事故大致原因，若因危险物质泄漏等引起的还应及时了解此物质特性，以便采取应对救援措施。如果有充足的时间，报警人应重复一遍以确保叙述正确，在叙述清楚之前不应挂断电话。然后上报开发区突发环境事件应急指挥部，应急指挥部进入应急状态，根据事故的性质和级别启动相应的应急预案，指挥调配所需的应急队伍或应急物资。</w:t>
      </w:r>
    </w:p>
    <w:p w14:paraId="1D46670A">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⑴</w:t>
      </w:r>
      <w:r>
        <w:rPr>
          <w:rFonts w:ascii="Times New Roman" w:hAnsi="Times New Roman" w:eastAsia="仿宋_GB2312"/>
          <w:kern w:val="0"/>
          <w:sz w:val="32"/>
          <w:szCs w:val="32"/>
        </w:rPr>
        <w:t>易燃可燃液体储罐或桶装物火灾的扑救</w:t>
      </w:r>
    </w:p>
    <w:p w14:paraId="455A7BC6">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①</w:t>
      </w:r>
      <w:r>
        <w:rPr>
          <w:rFonts w:ascii="Times New Roman" w:hAnsi="Times New Roman" w:eastAsia="仿宋_GB2312"/>
          <w:kern w:val="0"/>
          <w:sz w:val="32"/>
          <w:szCs w:val="32"/>
        </w:rPr>
        <w:t>当开发区内的企业的易燃可燃液体储罐或容器发生着火、爆炸。一旦发现火情要迅速向市生态环境局开发区分局和消防大队报警，报警中必须说明着火点或爆炸点位置及储存的物料情况。</w:t>
      </w:r>
    </w:p>
    <w:p w14:paraId="14FA0E2B">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②</w:t>
      </w:r>
      <w:r>
        <w:rPr>
          <w:rFonts w:ascii="Times New Roman" w:hAnsi="Times New Roman" w:eastAsia="仿宋_GB2312"/>
          <w:kern w:val="0"/>
          <w:sz w:val="32"/>
          <w:szCs w:val="32"/>
        </w:rPr>
        <w:t>若着火罐（如柴油储罐）尚在进料，必须采取措施迅速切断进料，如是采用槽罐车进行卸料，则转移卸料的槽罐车。如无法关闭进料阀门，可在消防水枪掩护下进行抢关。然后可利用泡沫、干粉、液体二氧化碳灭火器对其进行灭火，不过要注意喷射的位置，最佳的喷射位置在火焰的底部，避免造成油液飞溅。</w:t>
      </w:r>
    </w:p>
    <w:p w14:paraId="2FAC6721">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③</w:t>
      </w:r>
      <w:r>
        <w:rPr>
          <w:rFonts w:ascii="Times New Roman" w:hAnsi="Times New Roman" w:eastAsia="仿宋_GB2312"/>
          <w:kern w:val="0"/>
          <w:sz w:val="32"/>
          <w:szCs w:val="32"/>
        </w:rPr>
        <w:t>火场指挥人员应根据储罐损坏的情况，组织人员采取筑堤堵漏措施，防止物料流淌蔓延，避免火势扩大。</w:t>
      </w:r>
    </w:p>
    <w:p w14:paraId="213C4646">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⑵</w:t>
      </w:r>
      <w:r>
        <w:rPr>
          <w:rFonts w:ascii="Times New Roman" w:hAnsi="Times New Roman" w:eastAsia="仿宋_GB2312"/>
          <w:kern w:val="0"/>
          <w:sz w:val="32"/>
          <w:szCs w:val="32"/>
        </w:rPr>
        <w:t>仓库火灾的扑救</w:t>
      </w:r>
    </w:p>
    <w:p w14:paraId="50B9D80C">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①</w:t>
      </w:r>
      <w:r>
        <w:rPr>
          <w:rFonts w:ascii="Times New Roman" w:hAnsi="Times New Roman" w:eastAsia="仿宋_GB2312"/>
          <w:kern w:val="0"/>
          <w:sz w:val="32"/>
          <w:szCs w:val="32"/>
        </w:rPr>
        <w:t>开发区企业的仓库内储存的物质包含危化品、布料、塑料等典型可燃物，因此，某企业仓库着火时，仓库保管员应立即报警，报警时说明起火仓库地点、库号、着火物质品种及数量，以及仓库存放的情况。</w:t>
      </w:r>
    </w:p>
    <w:p w14:paraId="5A29A189">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②</w:t>
      </w:r>
      <w:r>
        <w:rPr>
          <w:rFonts w:ascii="Times New Roman" w:hAnsi="Times New Roman" w:eastAsia="仿宋_GB2312"/>
          <w:kern w:val="0"/>
          <w:sz w:val="32"/>
          <w:szCs w:val="32"/>
        </w:rPr>
        <w:t>仓库初期起火时，不可冒然用水枪喷射，应选用合适的灭火器材进行及时扑救。</w:t>
      </w:r>
    </w:p>
    <w:p w14:paraId="08271673">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③</w:t>
      </w:r>
      <w:r>
        <w:rPr>
          <w:rFonts w:ascii="Times New Roman" w:hAnsi="Times New Roman" w:eastAsia="仿宋_GB2312"/>
          <w:kern w:val="0"/>
          <w:sz w:val="32"/>
          <w:szCs w:val="32"/>
        </w:rPr>
        <w:t>事故单位应主动向灭火指挥人员介绍起火仓库情况，说明起火物质、仓库内存放物质，以及相应的灭火器材。</w:t>
      </w:r>
    </w:p>
    <w:p w14:paraId="05D506E8">
      <w:pPr>
        <w:pStyle w:val="6"/>
        <w:snapToGrid w:val="0"/>
        <w:spacing w:before="0" w:after="0" w:line="520" w:lineRule="exact"/>
        <w:ind w:left="0" w:firstLine="640" w:firstLineChars="200"/>
        <w:rPr>
          <w:rFonts w:eastAsia="仿宋_GB2312"/>
          <w:sz w:val="32"/>
          <w:szCs w:val="32"/>
        </w:rPr>
      </w:pPr>
      <w:r>
        <w:rPr>
          <w:rFonts w:eastAsia="仿宋_GB2312"/>
          <w:sz w:val="32"/>
          <w:szCs w:val="32"/>
        </w:rPr>
        <w:t>危化品泄露事故处置措施</w:t>
      </w:r>
    </w:p>
    <w:p w14:paraId="0046A8EA">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 xml:space="preserve">开发区内生产企业危险化学品发生泄露，运输危险化学品车辆发生泄露，以及境外企业发生危险化学品发生泄露时，造成了大气污染，采取以下措施： </w:t>
      </w:r>
    </w:p>
    <w:p w14:paraId="28E380AE">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（1）首要知晓泄漏的危化品的种类、数量、特性等，并及时联系相关行业的专家听取专业救援措施建议。</w:t>
      </w:r>
    </w:p>
    <w:p w14:paraId="04A9F138">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针对开发区境内企业发生化学品泄露事故，则立即启动企业自身编制的应急预案。如果是境外的则由应急指挥部上报市政府，由市领导进行协调处理或由市政府上报省领导进行协调处理。</w:t>
      </w:r>
    </w:p>
    <w:p w14:paraId="7946049F">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（2）运输化学品车辆发生泄露事故时，则立即组织消防救援人员立即堵住泄露点减少危险化学品的挥发。</w:t>
      </w:r>
    </w:p>
    <w:p w14:paraId="4C274675">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（3）对事故现场附近和受事故影响区域的通道实行有效的人员出入控制，必要时应要求影响范围内的学校或其他人员集中设施关闭，并疏散周围群众，以便控制可能被有毒有害物质污染人数范围。</w:t>
      </w:r>
    </w:p>
    <w:p w14:paraId="21D4AC53">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连云港市生态环境局在大气污染重点区域及其下风向开展应急流动监测，及时向指挥部报告实时监测数据，每五分钟至少报告一次重点监测点位的监测数据；气象部门开展临界气象预报，每十分钟至少进行一次预报，环保部门同时进行污染预报。</w:t>
      </w:r>
    </w:p>
    <w:p w14:paraId="1FDE237D">
      <w:pPr>
        <w:pStyle w:val="6"/>
        <w:snapToGrid w:val="0"/>
        <w:spacing w:before="0" w:after="0" w:line="520" w:lineRule="exact"/>
        <w:ind w:left="0" w:firstLine="640" w:firstLineChars="200"/>
        <w:rPr>
          <w:rFonts w:eastAsia="仿宋_GB2312"/>
          <w:sz w:val="32"/>
          <w:szCs w:val="32"/>
        </w:rPr>
      </w:pPr>
      <w:r>
        <w:rPr>
          <w:rFonts w:eastAsia="仿宋_GB2312"/>
          <w:sz w:val="32"/>
          <w:szCs w:val="32"/>
        </w:rPr>
        <w:t>事故废水和消防废水处理措施</w:t>
      </w:r>
    </w:p>
    <w:p w14:paraId="74DB8867">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在事故过程中和抢救过程中所产生的事故性排放的废水、消防废水，以及清洗净化产生的废水，要防止这些废水通过雨水管道进入外环境，突发环境事件结束后事故性废水和消防废水应泵入企业污水处理站处理后由区域污水处理厂进一步处理。开发区现有及未来入驻企业需根据环保要求建设事故应急池。</w:t>
      </w:r>
    </w:p>
    <w:p w14:paraId="2AEF6821">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若发生区内河流被污染时应采取以下措施：</w:t>
      </w:r>
    </w:p>
    <w:p w14:paraId="06409409">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对污染源采取截流措施。如果是开发区内企业排放污水，则要求其立即关闭排污阀门并停止生产，如果是境外的则由应急指挥部上报市政府，由市领导进行协调处理或由市政府上报省领导进行协调处理，如果是化学品车辆泄露，立即堵住漏洞，建立围堰，防止泄露物进入水体。</w:t>
      </w:r>
    </w:p>
    <w:p w14:paraId="3152CCBC">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（2）对事故现场附近和受事故影响区域的通道实行有效的人员出入控制，疏散周围群众，以便控制可能被有毒有害物质污染人数范围。</w:t>
      </w:r>
    </w:p>
    <w:p w14:paraId="04D5144D">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（3）组织专家勘察现场，识别水体中污染物质的种类、性质后，提出方案，采取相应的物理、化学、生物、工程等处置措施。</w:t>
      </w:r>
    </w:p>
    <w:p w14:paraId="68EB2BAA">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（4）在污染源下游布置监测点，进行24小时监测，水质情况及时上报应急指挥部。</w:t>
      </w:r>
    </w:p>
    <w:p w14:paraId="36AE1021">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（5）关闭附近河道卸洪闸门，使污染水体控制在开发区内不外流。</w:t>
      </w:r>
    </w:p>
    <w:p w14:paraId="7E33041E">
      <w:pPr>
        <w:pStyle w:val="6"/>
        <w:snapToGrid w:val="0"/>
        <w:spacing w:before="0" w:after="0" w:line="520" w:lineRule="exact"/>
        <w:ind w:left="0" w:firstLine="640" w:firstLineChars="200"/>
        <w:rPr>
          <w:rFonts w:eastAsia="仿宋_GB2312"/>
          <w:sz w:val="32"/>
          <w:szCs w:val="32"/>
        </w:rPr>
      </w:pPr>
      <w:r>
        <w:rPr>
          <w:rFonts w:eastAsia="仿宋_GB2312"/>
          <w:sz w:val="32"/>
          <w:szCs w:val="32"/>
        </w:rPr>
        <w:t>危化品运输过程风险防范措施</w:t>
      </w:r>
    </w:p>
    <w:p w14:paraId="15A61C89">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运输过程风险防范包括交通事故预防、运输过程设备故障性泄漏防范及事故后的应急处理。</w:t>
      </w:r>
    </w:p>
    <w:p w14:paraId="3B8719AE">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运输过程风险防范应从包装着手，核实相关化学品名称、数量、特性等，有关包装的具体要求按相关制度进行；运输装卸过程要严格按国家有关规定执行，包括汽车危险货物运输规则（JT3130-S8）、汽车危险货物运输、装卸作业规程（JT314-91）等。</w:t>
      </w:r>
    </w:p>
    <w:p w14:paraId="07243F4C">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（2）危险化学品装卸前后，必须对车辆和仓库进行必要的通风、清扫。装御作业使用的工具必须防止产生火花，必须有各种防护装置。</w:t>
      </w:r>
    </w:p>
    <w:p w14:paraId="41B00588">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（3）运输前应准确告知司机和押运人员有关运输物质的性质和事故应急处理方法，确保事故发生情况下能应急处理，减缓影响。</w:t>
      </w:r>
    </w:p>
    <w:p w14:paraId="38463CD0">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（4）其他措施详见8.3.3、8.3.4。</w:t>
      </w:r>
    </w:p>
    <w:p w14:paraId="0DCFD7B7">
      <w:pPr>
        <w:pStyle w:val="6"/>
        <w:snapToGrid w:val="0"/>
        <w:spacing w:before="0" w:after="0" w:line="520" w:lineRule="exact"/>
        <w:ind w:left="0" w:firstLine="640" w:firstLineChars="200"/>
        <w:rPr>
          <w:rFonts w:eastAsia="仿宋_GB2312"/>
          <w:sz w:val="32"/>
          <w:szCs w:val="32"/>
        </w:rPr>
      </w:pPr>
      <w:bookmarkStart w:id="332" w:name="_Toc423854465"/>
      <w:r>
        <w:rPr>
          <w:rFonts w:eastAsia="仿宋_GB2312"/>
          <w:sz w:val="32"/>
          <w:szCs w:val="32"/>
        </w:rPr>
        <w:t>开发区外部救援</w:t>
      </w:r>
      <w:bookmarkEnd w:id="332"/>
    </w:p>
    <w:p w14:paraId="286CDC5A">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在突发环境事件救援过程中，现场指挥部人员将现场情况及时向指挥中心汇报。指挥中心根据现场情况调查和评估事件的可能发展方向，预测事件的发展趋势；根据事态发展决定是否请求外援，并在明确事件不能得到有效控制或已造成重大伤亡时，与事件发生企业（或事业）单位共同确定撤离路线，组织事件中心区域和波及区域人员的撤离和疏散。</w:t>
      </w:r>
    </w:p>
    <w:p w14:paraId="400AE9A9">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在外部救援队伍到来后，现场指挥部应向救援人员详细介绍现场所贮存和使用的危险物质的情况，并说明其他相关危险情况；依托有关部门或单位对开发区周边进行监测，以确定突发环境事件的影响程度，并对影响范围内的居民进行疏散。</w:t>
      </w:r>
    </w:p>
    <w:p w14:paraId="4605134E">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33" w:name="_Toc58392462"/>
      <w:r>
        <w:rPr>
          <w:rFonts w:ascii="Times New Roman" w:hAnsi="Times New Roman" w:eastAsia="楷体_GB2312"/>
          <w:sz w:val="32"/>
          <w:szCs w:val="32"/>
        </w:rPr>
        <w:t xml:space="preserve">  应急监测</w:t>
      </w:r>
      <w:bookmarkEnd w:id="333"/>
    </w:p>
    <w:p w14:paraId="76B42561">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发生突发环境事件时，江苏省连云港环境监测中心应迅速组织监测人员赶赴现场，在企业（或事业）单位环境应急监测小组配合下根据实际情况，迅速确定监测方案（包括监测布点、频次、项目和方法等），及时开展针对突发环境事件的应急监测工作，在尽可能短的时间内，用小型、便携、简易的仪器对污染物质种类、浓度和污染的范围及其可能的危害作出判断，以便对事件能及时、正确的进行处理。</w:t>
      </w:r>
    </w:p>
    <w:p w14:paraId="396027A0">
      <w:pPr>
        <w:numPr>
          <w:ilvl w:val="2"/>
          <w:numId w:val="1"/>
        </w:numPr>
        <w:snapToGrid w:val="0"/>
        <w:spacing w:line="520" w:lineRule="exact"/>
        <w:ind w:left="0" w:firstLine="640" w:firstLineChars="200"/>
        <w:outlineLvl w:val="2"/>
        <w:rPr>
          <w:rFonts w:ascii="Times New Roman" w:hAnsi="Times New Roman" w:eastAsia="楷体_GB2312"/>
          <w:kern w:val="0"/>
          <w:sz w:val="32"/>
          <w:szCs w:val="32"/>
        </w:rPr>
      </w:pPr>
      <w:bookmarkStart w:id="334" w:name="_Toc423854467"/>
      <w:r>
        <w:rPr>
          <w:rFonts w:ascii="Times New Roman" w:hAnsi="Times New Roman" w:eastAsia="楷体_GB2312"/>
          <w:kern w:val="0"/>
          <w:sz w:val="32"/>
          <w:szCs w:val="32"/>
        </w:rPr>
        <w:t>布点原则</w:t>
      </w:r>
      <w:bookmarkEnd w:id="334"/>
    </w:p>
    <w:p w14:paraId="3391C951">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采样段面（点）的设置一般以环境污染事故发生地点及其附近为主，同时必须注重人群和生活环境，考虑饮用水源地、居民住宅区空气、农田土壤等区域的影响，合理设置参照点，以掌握污染发生地点状况、反映事故发生区域环境的污染程度和污染范围为目的。</w:t>
      </w:r>
    </w:p>
    <w:p w14:paraId="317013DA">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对被环境污染事故所污染的地表水、地下水、大气和土壤均应设置对照断面（点）、控制断面（点），对地表水和地下水还应设置削减断面，尽可能以最少的断面（点）获取足够的有代表性的所需信息，同时需考虑采样的可行性和方便性。</w:t>
      </w:r>
    </w:p>
    <w:p w14:paraId="06F194B7">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根据《突发环境事件应急监测技术规范》（HJ589-2010），监测布点原则见表8.4-1，监测方法的有关规定见表8.4-2。</w:t>
      </w:r>
    </w:p>
    <w:p w14:paraId="62566D2C">
      <w:pPr>
        <w:snapToGrid w:val="0"/>
        <w:jc w:val="center"/>
        <w:rPr>
          <w:rFonts w:ascii="Times New Roman" w:hAnsi="Times New Roman" w:eastAsia="仿宋_GB2312"/>
          <w:sz w:val="32"/>
          <w:szCs w:val="32"/>
        </w:rPr>
      </w:pPr>
      <w:r>
        <w:rPr>
          <w:rFonts w:ascii="Times New Roman" w:hAnsi="Times New Roman" w:eastAsia="仿宋_GB2312"/>
          <w:sz w:val="32"/>
          <w:szCs w:val="32"/>
        </w:rPr>
        <w:t>表8.4-1   应急监测布点原则</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926"/>
        <w:gridCol w:w="928"/>
        <w:gridCol w:w="930"/>
        <w:gridCol w:w="1857"/>
        <w:gridCol w:w="1888"/>
        <w:gridCol w:w="1600"/>
      </w:tblGrid>
      <w:tr w14:paraId="4A84D0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4" w:type="pct"/>
            <w:vAlign w:val="center"/>
          </w:tcPr>
          <w:p w14:paraId="2F89EDCB">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监测</w:t>
            </w:r>
          </w:p>
          <w:p w14:paraId="5EB1A643">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类型</w:t>
            </w:r>
          </w:p>
        </w:tc>
        <w:tc>
          <w:tcPr>
            <w:tcW w:w="511" w:type="pct"/>
            <w:vAlign w:val="center"/>
          </w:tcPr>
          <w:p w14:paraId="2BFA1601">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控制</w:t>
            </w:r>
          </w:p>
          <w:p w14:paraId="12AD54B1">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断面</w:t>
            </w:r>
          </w:p>
        </w:tc>
        <w:tc>
          <w:tcPr>
            <w:tcW w:w="512" w:type="pct"/>
            <w:vAlign w:val="center"/>
          </w:tcPr>
          <w:p w14:paraId="7CC8AB11">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消减</w:t>
            </w:r>
          </w:p>
          <w:p w14:paraId="7755AFB1">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断面</w:t>
            </w:r>
          </w:p>
        </w:tc>
        <w:tc>
          <w:tcPr>
            <w:tcW w:w="513" w:type="pct"/>
            <w:vAlign w:val="center"/>
          </w:tcPr>
          <w:p w14:paraId="4F4B9927">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特殊</w:t>
            </w:r>
          </w:p>
          <w:p w14:paraId="223C55ED">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断面</w:t>
            </w:r>
          </w:p>
        </w:tc>
        <w:tc>
          <w:tcPr>
            <w:tcW w:w="1025" w:type="pct"/>
            <w:vAlign w:val="center"/>
          </w:tcPr>
          <w:p w14:paraId="40536680">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特殊断面</w:t>
            </w:r>
          </w:p>
        </w:tc>
        <w:tc>
          <w:tcPr>
            <w:tcW w:w="1042" w:type="pct"/>
            <w:vAlign w:val="center"/>
          </w:tcPr>
          <w:p w14:paraId="58C5E3D5">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布点方法</w:t>
            </w:r>
          </w:p>
        </w:tc>
        <w:tc>
          <w:tcPr>
            <w:tcW w:w="883" w:type="pct"/>
            <w:vAlign w:val="center"/>
          </w:tcPr>
          <w:p w14:paraId="284FF7DA">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采样频次</w:t>
            </w:r>
          </w:p>
        </w:tc>
      </w:tr>
      <w:tr w14:paraId="4523A2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4" w:type="pct"/>
            <w:vAlign w:val="center"/>
          </w:tcPr>
          <w:p w14:paraId="08D5640A">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江河</w:t>
            </w:r>
          </w:p>
        </w:tc>
        <w:tc>
          <w:tcPr>
            <w:tcW w:w="511" w:type="pct"/>
            <w:vAlign w:val="center"/>
          </w:tcPr>
          <w:p w14:paraId="34F985E2">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2" w:type="pct"/>
            <w:vAlign w:val="center"/>
          </w:tcPr>
          <w:p w14:paraId="6A2AB173">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3" w:type="pct"/>
            <w:vAlign w:val="center"/>
          </w:tcPr>
          <w:p w14:paraId="1659FA9B">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1025" w:type="pct"/>
            <w:vAlign w:val="center"/>
          </w:tcPr>
          <w:p w14:paraId="060EDDB8">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饮用水取水口、农灌区取水</w:t>
            </w:r>
          </w:p>
        </w:tc>
        <w:tc>
          <w:tcPr>
            <w:tcW w:w="1042" w:type="pct"/>
            <w:vAlign w:val="center"/>
          </w:tcPr>
          <w:p w14:paraId="3DE70E95">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根据现场具体情况布点</w:t>
            </w:r>
          </w:p>
        </w:tc>
        <w:tc>
          <w:tcPr>
            <w:tcW w:w="883" w:type="pct"/>
            <w:vMerge w:val="restart"/>
            <w:vAlign w:val="center"/>
          </w:tcPr>
          <w:p w14:paraId="4FE804C5">
            <w:pPr>
              <w:adjustRightInd w:val="0"/>
              <w:snapToGrid w:val="0"/>
              <w:jc w:val="center"/>
              <w:rPr>
                <w:rFonts w:ascii="Times New Roman" w:hAnsi="Times New Roman" w:eastAsia="仿宋_GB2312"/>
                <w:bCs/>
                <w:sz w:val="32"/>
                <w:szCs w:val="32"/>
              </w:rPr>
            </w:pPr>
            <w:r>
              <w:rPr>
                <w:rFonts w:ascii="Times New Roman" w:hAnsi="Times New Roman" w:eastAsia="仿宋_GB2312"/>
                <w:bCs/>
                <w:sz w:val="32"/>
                <w:szCs w:val="32"/>
              </w:rPr>
              <w:t>根据现场污染状况确定。事故刚发生时，采样频次可适当增加，待摸清污染物变化规律后，可减少采样频次</w:t>
            </w:r>
          </w:p>
        </w:tc>
      </w:tr>
      <w:tr w14:paraId="2D7F4F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4" w:type="pct"/>
            <w:vAlign w:val="center"/>
          </w:tcPr>
          <w:p w14:paraId="5CBE893C">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湖库</w:t>
            </w:r>
          </w:p>
        </w:tc>
        <w:tc>
          <w:tcPr>
            <w:tcW w:w="511" w:type="pct"/>
            <w:vAlign w:val="center"/>
          </w:tcPr>
          <w:p w14:paraId="30509AB1">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2" w:type="pct"/>
            <w:vAlign w:val="center"/>
          </w:tcPr>
          <w:p w14:paraId="6BD65B73">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3" w:type="pct"/>
            <w:vAlign w:val="center"/>
          </w:tcPr>
          <w:p w14:paraId="2B1DF268">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1025" w:type="pct"/>
            <w:vAlign w:val="center"/>
          </w:tcPr>
          <w:p w14:paraId="25BBF832">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出水口、饮用水取水口</w:t>
            </w:r>
          </w:p>
        </w:tc>
        <w:tc>
          <w:tcPr>
            <w:tcW w:w="1042" w:type="pct"/>
            <w:vAlign w:val="center"/>
          </w:tcPr>
          <w:p w14:paraId="5E2CF8C1">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按水流方向在一定间隔的扇形或圆形布点</w:t>
            </w:r>
          </w:p>
        </w:tc>
        <w:tc>
          <w:tcPr>
            <w:tcW w:w="883" w:type="pct"/>
            <w:vMerge w:val="continue"/>
            <w:vAlign w:val="center"/>
          </w:tcPr>
          <w:p w14:paraId="0AA81B5F">
            <w:pPr>
              <w:adjustRightInd w:val="0"/>
              <w:snapToGrid w:val="0"/>
              <w:jc w:val="center"/>
              <w:rPr>
                <w:rFonts w:ascii="Times New Roman" w:hAnsi="Times New Roman" w:eastAsia="仿宋_GB2312"/>
                <w:bCs/>
                <w:sz w:val="32"/>
                <w:szCs w:val="32"/>
              </w:rPr>
            </w:pPr>
          </w:p>
        </w:tc>
      </w:tr>
      <w:tr w14:paraId="0B8D9C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4" w:type="pct"/>
            <w:vAlign w:val="center"/>
          </w:tcPr>
          <w:p w14:paraId="277A9B1D">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地下水</w:t>
            </w:r>
          </w:p>
        </w:tc>
        <w:tc>
          <w:tcPr>
            <w:tcW w:w="511" w:type="pct"/>
            <w:vAlign w:val="center"/>
          </w:tcPr>
          <w:p w14:paraId="40F46F7D">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2" w:type="pct"/>
            <w:vAlign w:val="center"/>
          </w:tcPr>
          <w:p w14:paraId="0C17F96A">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3" w:type="pct"/>
            <w:vAlign w:val="center"/>
          </w:tcPr>
          <w:p w14:paraId="73C34F21">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1025" w:type="pct"/>
            <w:vAlign w:val="center"/>
          </w:tcPr>
          <w:p w14:paraId="43E9289F">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饮用水取水处</w:t>
            </w:r>
          </w:p>
        </w:tc>
        <w:tc>
          <w:tcPr>
            <w:tcW w:w="1042" w:type="pct"/>
            <w:vAlign w:val="center"/>
          </w:tcPr>
          <w:p w14:paraId="4C6FB722">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根据水的流向采用网格法或辐射法布点</w:t>
            </w:r>
          </w:p>
        </w:tc>
        <w:tc>
          <w:tcPr>
            <w:tcW w:w="883" w:type="pct"/>
            <w:vMerge w:val="continue"/>
            <w:vAlign w:val="center"/>
          </w:tcPr>
          <w:p w14:paraId="5E7BB00C">
            <w:pPr>
              <w:adjustRightInd w:val="0"/>
              <w:snapToGrid w:val="0"/>
              <w:jc w:val="center"/>
              <w:rPr>
                <w:rFonts w:ascii="Times New Roman" w:hAnsi="Times New Roman" w:eastAsia="仿宋_GB2312"/>
                <w:bCs/>
                <w:sz w:val="32"/>
                <w:szCs w:val="32"/>
              </w:rPr>
            </w:pPr>
          </w:p>
        </w:tc>
      </w:tr>
      <w:tr w14:paraId="1DAC52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4" w:type="pct"/>
            <w:vAlign w:val="center"/>
          </w:tcPr>
          <w:p w14:paraId="2890DE94">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大气</w:t>
            </w:r>
          </w:p>
        </w:tc>
        <w:tc>
          <w:tcPr>
            <w:tcW w:w="511" w:type="pct"/>
            <w:vAlign w:val="center"/>
          </w:tcPr>
          <w:p w14:paraId="010B0101">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2" w:type="pct"/>
            <w:vAlign w:val="center"/>
          </w:tcPr>
          <w:p w14:paraId="1E9E8D4E">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3" w:type="pct"/>
            <w:vAlign w:val="center"/>
          </w:tcPr>
          <w:p w14:paraId="5F2D9E12">
            <w:pPr>
              <w:adjustRightInd w:val="0"/>
              <w:snapToGrid w:val="0"/>
              <w:jc w:val="center"/>
              <w:rPr>
                <w:rFonts w:ascii="Times New Roman" w:hAnsi="Times New Roman" w:eastAsia="仿宋"/>
                <w:bCs/>
                <w:sz w:val="32"/>
                <w:szCs w:val="32"/>
              </w:rPr>
            </w:pPr>
          </w:p>
        </w:tc>
        <w:tc>
          <w:tcPr>
            <w:tcW w:w="1025" w:type="pct"/>
            <w:vAlign w:val="center"/>
          </w:tcPr>
          <w:p w14:paraId="1C08754F">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居民区、人群活动区</w:t>
            </w:r>
          </w:p>
        </w:tc>
        <w:tc>
          <w:tcPr>
            <w:tcW w:w="1042" w:type="pct"/>
            <w:vAlign w:val="center"/>
          </w:tcPr>
          <w:p w14:paraId="42E1B16C">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下风向按一定间隔的扇形或圆形布点</w:t>
            </w:r>
          </w:p>
        </w:tc>
        <w:tc>
          <w:tcPr>
            <w:tcW w:w="883" w:type="pct"/>
            <w:vMerge w:val="continue"/>
            <w:vAlign w:val="center"/>
          </w:tcPr>
          <w:p w14:paraId="337DF6F2">
            <w:pPr>
              <w:adjustRightInd w:val="0"/>
              <w:snapToGrid w:val="0"/>
              <w:jc w:val="center"/>
              <w:rPr>
                <w:rFonts w:ascii="Times New Roman" w:hAnsi="Times New Roman" w:eastAsia="仿宋_GB2312"/>
                <w:bCs/>
                <w:sz w:val="32"/>
                <w:szCs w:val="32"/>
              </w:rPr>
            </w:pPr>
          </w:p>
        </w:tc>
      </w:tr>
      <w:tr w14:paraId="49CF54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4" w:type="pct"/>
            <w:vAlign w:val="center"/>
          </w:tcPr>
          <w:p w14:paraId="58E97469">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土壤</w:t>
            </w:r>
          </w:p>
        </w:tc>
        <w:tc>
          <w:tcPr>
            <w:tcW w:w="511" w:type="pct"/>
            <w:vAlign w:val="center"/>
          </w:tcPr>
          <w:p w14:paraId="5E405B63">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2" w:type="pct"/>
            <w:vAlign w:val="center"/>
          </w:tcPr>
          <w:p w14:paraId="759C66E1">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3" w:type="pct"/>
            <w:vAlign w:val="center"/>
          </w:tcPr>
          <w:p w14:paraId="479D3F5F">
            <w:pPr>
              <w:adjustRightInd w:val="0"/>
              <w:snapToGrid w:val="0"/>
              <w:jc w:val="center"/>
              <w:rPr>
                <w:rFonts w:ascii="Times New Roman" w:hAnsi="Times New Roman" w:eastAsia="仿宋"/>
                <w:bCs/>
                <w:sz w:val="32"/>
                <w:szCs w:val="32"/>
              </w:rPr>
            </w:pPr>
          </w:p>
        </w:tc>
        <w:tc>
          <w:tcPr>
            <w:tcW w:w="1025" w:type="pct"/>
            <w:vAlign w:val="center"/>
          </w:tcPr>
          <w:p w14:paraId="4528ECB8">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作物样品</w:t>
            </w:r>
          </w:p>
        </w:tc>
        <w:tc>
          <w:tcPr>
            <w:tcW w:w="1042" w:type="pct"/>
            <w:vAlign w:val="center"/>
          </w:tcPr>
          <w:p w14:paraId="36DE1A70">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按一定间隔的圆形布点、不同深度采样</w:t>
            </w:r>
          </w:p>
        </w:tc>
        <w:tc>
          <w:tcPr>
            <w:tcW w:w="883" w:type="pct"/>
            <w:vMerge w:val="continue"/>
            <w:vAlign w:val="center"/>
          </w:tcPr>
          <w:p w14:paraId="397CB31F">
            <w:pPr>
              <w:adjustRightInd w:val="0"/>
              <w:snapToGrid w:val="0"/>
              <w:jc w:val="center"/>
              <w:rPr>
                <w:rFonts w:ascii="Times New Roman" w:hAnsi="Times New Roman" w:eastAsia="仿宋_GB2312"/>
                <w:bCs/>
                <w:sz w:val="32"/>
                <w:szCs w:val="32"/>
              </w:rPr>
            </w:pPr>
          </w:p>
        </w:tc>
      </w:tr>
    </w:tbl>
    <w:p w14:paraId="627EB9A9">
      <w:pPr>
        <w:snapToGrid w:val="0"/>
        <w:jc w:val="center"/>
        <w:rPr>
          <w:rFonts w:ascii="Times New Roman" w:hAnsi="Times New Roman" w:eastAsia="仿宋_GB2312"/>
          <w:sz w:val="32"/>
          <w:szCs w:val="32"/>
        </w:rPr>
      </w:pPr>
      <w:r>
        <w:rPr>
          <w:rFonts w:ascii="Times New Roman" w:hAnsi="Times New Roman" w:eastAsia="仿宋_GB2312"/>
          <w:sz w:val="32"/>
          <w:szCs w:val="32"/>
        </w:rPr>
        <w:t>表8.4-2   监测方法的有关规定</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8286"/>
      </w:tblGrid>
      <w:tr w14:paraId="6C2F70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0" w:hRule="atLeast"/>
          <w:jc w:val="center"/>
        </w:trPr>
        <w:tc>
          <w:tcPr>
            <w:tcW w:w="427" w:type="pct"/>
            <w:vAlign w:val="center"/>
          </w:tcPr>
          <w:p w14:paraId="65B94051">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序号</w:t>
            </w:r>
          </w:p>
        </w:tc>
        <w:tc>
          <w:tcPr>
            <w:tcW w:w="4573" w:type="pct"/>
            <w:vAlign w:val="center"/>
          </w:tcPr>
          <w:p w14:paraId="55C6D5E8">
            <w:pPr>
              <w:adjustRightInd w:val="0"/>
              <w:snapToGrid w:val="0"/>
              <w:jc w:val="center"/>
              <w:rPr>
                <w:rFonts w:ascii="Times New Roman" w:hAnsi="Times New Roman" w:eastAsia="仿宋_GB2312"/>
                <w:bCs/>
                <w:sz w:val="32"/>
                <w:szCs w:val="32"/>
              </w:rPr>
            </w:pPr>
            <w:r>
              <w:rPr>
                <w:rFonts w:ascii="Times New Roman" w:hAnsi="Times New Roman" w:eastAsia="仿宋_GB2312"/>
                <w:bCs/>
                <w:sz w:val="32"/>
                <w:szCs w:val="32"/>
              </w:rPr>
              <w:t>要求</w:t>
            </w:r>
          </w:p>
        </w:tc>
      </w:tr>
      <w:tr w14:paraId="0BE568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pct"/>
            <w:vAlign w:val="center"/>
          </w:tcPr>
          <w:p w14:paraId="4AE2B7AF">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1</w:t>
            </w:r>
          </w:p>
        </w:tc>
        <w:tc>
          <w:tcPr>
            <w:tcW w:w="4573" w:type="pct"/>
            <w:vAlign w:val="center"/>
          </w:tcPr>
          <w:p w14:paraId="2CCBE769">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为迅速查明突发环境事件污染物的种类（或名称）、污染程度和范围以及污染物发展趋势，在已有调查资料的基础上，充分利用现场快速监测方法和实验室现有的分析方法进行鉴别、确认</w:t>
            </w:r>
          </w:p>
        </w:tc>
      </w:tr>
      <w:tr w14:paraId="0E5391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pct"/>
            <w:vAlign w:val="center"/>
          </w:tcPr>
          <w:p w14:paraId="04B503AC">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2</w:t>
            </w:r>
          </w:p>
        </w:tc>
        <w:tc>
          <w:tcPr>
            <w:tcW w:w="4573" w:type="pct"/>
            <w:vAlign w:val="center"/>
          </w:tcPr>
          <w:p w14:paraId="321E4D04">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为快速监测突发环境事件的污染物，首先可采用如下的快速监测方法：检测试纸、快速检测管和便携式监测仪器等的监测方法。现行的实验室分析方法</w:t>
            </w:r>
          </w:p>
        </w:tc>
      </w:tr>
      <w:tr w14:paraId="569D69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pct"/>
            <w:vAlign w:val="center"/>
          </w:tcPr>
          <w:p w14:paraId="5C2D5B2A">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3</w:t>
            </w:r>
          </w:p>
        </w:tc>
        <w:tc>
          <w:tcPr>
            <w:tcW w:w="4573" w:type="pct"/>
            <w:vAlign w:val="center"/>
          </w:tcPr>
          <w:p w14:paraId="1712C066">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从速送实验室进行确认、鉴别，实验室应优先采用国家环境保护标准或行业标准</w:t>
            </w:r>
          </w:p>
        </w:tc>
      </w:tr>
      <w:tr w14:paraId="1D1D42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pct"/>
            <w:vAlign w:val="center"/>
          </w:tcPr>
          <w:p w14:paraId="2CC2C3C1">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4</w:t>
            </w:r>
          </w:p>
        </w:tc>
        <w:tc>
          <w:tcPr>
            <w:tcW w:w="4573" w:type="pct"/>
            <w:vAlign w:val="center"/>
          </w:tcPr>
          <w:p w14:paraId="00CABCF9">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当上述分析方法不能满足时，可根据各地具体情况和仪器设备条件，选用其他适宜的方法</w:t>
            </w:r>
          </w:p>
        </w:tc>
      </w:tr>
    </w:tbl>
    <w:p w14:paraId="13BCEFE3">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335" w:name="_Toc423854468"/>
      <w:r>
        <w:rPr>
          <w:rFonts w:ascii="Times New Roman" w:hAnsi="Times New Roman" w:eastAsia="仿宋_GB2312"/>
          <w:kern w:val="0"/>
          <w:sz w:val="32"/>
          <w:szCs w:val="32"/>
        </w:rPr>
        <w:t>布点采样方法</w:t>
      </w:r>
      <w:bookmarkEnd w:id="335"/>
    </w:p>
    <w:p w14:paraId="17B2E4AE">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（1）环境空气污染事故</w:t>
      </w:r>
    </w:p>
    <w:p w14:paraId="492F92DE">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应尽可能在事故发生地就近采样，并以事故地点为中心，根据事故发生地的地理特点、当时盛行风向以及其他自然条件，在事故发生地下风向（污染物漂移云团经过的路径）影响区域、掩体或低洼等位置，按一定间隔，如50m、100m、200m、500m、1000m、1500m、3000m和5000m等处进行圆形布点采样，并根据污染物的特点在不同高度采样，同时在事故点的上风向适当位置布设对照点。在距事故发生地最近的工厂、生活区、村落或其他敏感区域应布点采样。采样过程中应注意风向的变化，及时调整采样点的位置。</w:t>
      </w:r>
    </w:p>
    <w:p w14:paraId="7AEE3106">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（2）地表水环境污染事故</w:t>
      </w:r>
    </w:p>
    <w:p w14:paraId="41ED2903">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监测点位以事故发生地为主，根据水流方向、扩散速度（或流速）和现场具体情况（如地形地貌等）进行布点采样，同时应测定流量。</w:t>
      </w:r>
    </w:p>
    <w:p w14:paraId="728ADF46">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②</w:t>
      </w:r>
      <w:r>
        <w:rPr>
          <w:rFonts w:ascii="Times New Roman" w:hAnsi="Times New Roman" w:eastAsia="仿宋_GB2312"/>
          <w:sz w:val="32"/>
          <w:szCs w:val="32"/>
        </w:rPr>
        <w:t>对厂区周边河流监测应在事故发生地、事故发生地的下游在50m、100m、200m、500m、1000m、1500m、2000m处设若干点，同时在事故发生地的上游一定距离布设对照断面（点）。如河流流速很小或基本静止，可根据污染物的特性在不同水层采样；在事故影响区域内饮用水和农灌区取水口必须设置采样断面（点）。</w:t>
      </w:r>
    </w:p>
    <w:p w14:paraId="29924233">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336" w:name="_Toc423854469"/>
      <w:r>
        <w:rPr>
          <w:rFonts w:ascii="Times New Roman" w:hAnsi="Times New Roman" w:eastAsia="仿宋_GB2312"/>
          <w:kern w:val="0"/>
          <w:sz w:val="32"/>
          <w:szCs w:val="32"/>
        </w:rPr>
        <w:t>布点频次的确定</w:t>
      </w:r>
      <w:bookmarkEnd w:id="336"/>
    </w:p>
    <w:p w14:paraId="73ADF625">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为了掌握事故发生后的污染程度、范围及变化趋势，需要实时进行连续的跟踪监测。应急监测全过程应在事发、事中和事后等不同阶段予以体现，但各个阶段的监测频次不尽相同，参见表8.4-3。</w:t>
      </w:r>
    </w:p>
    <w:p w14:paraId="557C8263">
      <w:pPr>
        <w:snapToGrid w:val="0"/>
        <w:jc w:val="center"/>
        <w:rPr>
          <w:rFonts w:ascii="Times New Roman" w:hAnsi="Times New Roman" w:eastAsia="仿宋_GB2312"/>
          <w:sz w:val="32"/>
          <w:szCs w:val="32"/>
        </w:rPr>
      </w:pPr>
      <w:r>
        <w:rPr>
          <w:rFonts w:ascii="Times New Roman" w:hAnsi="Times New Roman" w:eastAsia="仿宋_GB2312"/>
          <w:sz w:val="32"/>
          <w:szCs w:val="32"/>
        </w:rPr>
        <w:t>表8.4-3   应急监测频次的确定原则</w:t>
      </w:r>
    </w:p>
    <w:tbl>
      <w:tblPr>
        <w:tblStyle w:val="23"/>
        <w:tblW w:w="5000" w:type="pct"/>
        <w:jc w:val="center"/>
        <w:tblBorders>
          <w:top w:val="single" w:color="auto" w:sz="4" w:space="0"/>
          <w:left w:val="none" w:color="auto" w:sz="0" w:space="0"/>
          <w:bottom w:val="single" w:color="auto" w:sz="4" w:space="0"/>
          <w:right w:val="none" w:color="auto" w:sz="0" w:space="0"/>
          <w:insideH w:val="outset" w:color="auto" w:sz="6" w:space="0"/>
          <w:insideV w:val="outset" w:color="auto" w:sz="6" w:space="0"/>
        </w:tblBorders>
        <w:tblLayout w:type="autofit"/>
        <w:tblCellMar>
          <w:top w:w="0" w:type="dxa"/>
          <w:left w:w="108" w:type="dxa"/>
          <w:bottom w:w="0" w:type="dxa"/>
          <w:right w:w="108" w:type="dxa"/>
        </w:tblCellMar>
      </w:tblPr>
      <w:tblGrid>
        <w:gridCol w:w="1538"/>
        <w:gridCol w:w="3099"/>
        <w:gridCol w:w="4423"/>
      </w:tblGrid>
      <w:tr w14:paraId="17FFB0BF">
        <w:tblPrEx>
          <w:tblBorders>
            <w:top w:val="single" w:color="auto" w:sz="4" w:space="0"/>
            <w:left w:val="none" w:color="auto" w:sz="0" w:space="0"/>
            <w:bottom w:val="single" w:color="auto" w:sz="4"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849" w:type="pct"/>
            <w:tcBorders>
              <w:top w:val="single" w:color="auto" w:sz="4" w:space="0"/>
              <w:bottom w:val="single" w:color="auto" w:sz="4" w:space="0"/>
              <w:right w:val="single" w:color="auto" w:sz="4" w:space="0"/>
            </w:tcBorders>
            <w:vAlign w:val="center"/>
          </w:tcPr>
          <w:p w14:paraId="48D92792">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事故类型</w:t>
            </w:r>
          </w:p>
        </w:tc>
        <w:tc>
          <w:tcPr>
            <w:tcW w:w="1710" w:type="pct"/>
            <w:tcBorders>
              <w:top w:val="single" w:color="auto" w:sz="4" w:space="0"/>
              <w:left w:val="single" w:color="auto" w:sz="4" w:space="0"/>
              <w:bottom w:val="single" w:color="auto" w:sz="4" w:space="0"/>
              <w:right w:val="single" w:color="auto" w:sz="4" w:space="0"/>
            </w:tcBorders>
            <w:vAlign w:val="center"/>
          </w:tcPr>
          <w:p w14:paraId="57B12830">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监测点位</w:t>
            </w:r>
          </w:p>
        </w:tc>
        <w:tc>
          <w:tcPr>
            <w:tcW w:w="2441" w:type="pct"/>
            <w:tcBorders>
              <w:top w:val="single" w:color="auto" w:sz="4" w:space="0"/>
              <w:left w:val="single" w:color="auto" w:sz="4" w:space="0"/>
              <w:bottom w:val="single" w:color="auto" w:sz="4" w:space="0"/>
            </w:tcBorders>
            <w:vAlign w:val="center"/>
          </w:tcPr>
          <w:p w14:paraId="7C10C4FE">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应急监测频次</w:t>
            </w:r>
          </w:p>
        </w:tc>
      </w:tr>
      <w:tr w14:paraId="29DD3FE1">
        <w:tblPrEx>
          <w:tblBorders>
            <w:top w:val="single" w:color="auto" w:sz="4" w:space="0"/>
            <w:left w:val="none" w:color="auto" w:sz="0" w:space="0"/>
            <w:bottom w:val="single" w:color="auto" w:sz="4"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849" w:type="pct"/>
            <w:vMerge w:val="restart"/>
            <w:tcBorders>
              <w:top w:val="single" w:color="auto" w:sz="4" w:space="0"/>
              <w:bottom w:val="single" w:color="auto" w:sz="4" w:space="0"/>
              <w:right w:val="single" w:color="auto" w:sz="4" w:space="0"/>
            </w:tcBorders>
            <w:vAlign w:val="center"/>
          </w:tcPr>
          <w:p w14:paraId="5601CF94">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环境空气污染事故</w:t>
            </w:r>
          </w:p>
        </w:tc>
        <w:tc>
          <w:tcPr>
            <w:tcW w:w="1710" w:type="pct"/>
            <w:tcBorders>
              <w:top w:val="single" w:color="auto" w:sz="4" w:space="0"/>
              <w:left w:val="single" w:color="auto" w:sz="4" w:space="0"/>
              <w:bottom w:val="single" w:color="auto" w:sz="4" w:space="0"/>
              <w:right w:val="single" w:color="auto" w:sz="4" w:space="0"/>
            </w:tcBorders>
            <w:vAlign w:val="center"/>
          </w:tcPr>
          <w:p w14:paraId="416047EC">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事故发生地</w:t>
            </w:r>
          </w:p>
        </w:tc>
        <w:tc>
          <w:tcPr>
            <w:tcW w:w="2441" w:type="pct"/>
            <w:tcBorders>
              <w:top w:val="single" w:color="auto" w:sz="4" w:space="0"/>
              <w:left w:val="single" w:color="auto" w:sz="4" w:space="0"/>
              <w:bottom w:val="single" w:color="auto" w:sz="4" w:space="0"/>
            </w:tcBorders>
            <w:vAlign w:val="center"/>
          </w:tcPr>
          <w:p w14:paraId="4E25A437">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初始加密（6次/天）监测，随着污染物浓度的下降逐渐降低频次</w:t>
            </w:r>
          </w:p>
        </w:tc>
      </w:tr>
      <w:tr w14:paraId="4D0B5BCB">
        <w:tblPrEx>
          <w:tblBorders>
            <w:top w:val="single" w:color="auto" w:sz="4" w:space="0"/>
            <w:left w:val="none" w:color="auto" w:sz="0" w:space="0"/>
            <w:bottom w:val="single" w:color="auto" w:sz="4"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849" w:type="pct"/>
            <w:vMerge w:val="continue"/>
            <w:tcBorders>
              <w:top w:val="single" w:color="auto" w:sz="4" w:space="0"/>
              <w:bottom w:val="single" w:color="auto" w:sz="4" w:space="0"/>
              <w:right w:val="single" w:color="auto" w:sz="4" w:space="0"/>
            </w:tcBorders>
            <w:vAlign w:val="center"/>
          </w:tcPr>
          <w:p w14:paraId="3A214331">
            <w:pPr>
              <w:adjustRightInd w:val="0"/>
              <w:snapToGrid w:val="0"/>
              <w:jc w:val="center"/>
              <w:rPr>
                <w:rFonts w:ascii="Times New Roman" w:hAnsi="Times New Roman" w:eastAsia="仿宋"/>
                <w:sz w:val="32"/>
                <w:szCs w:val="32"/>
              </w:rPr>
            </w:pPr>
          </w:p>
        </w:tc>
        <w:tc>
          <w:tcPr>
            <w:tcW w:w="1710" w:type="pct"/>
            <w:tcBorders>
              <w:top w:val="single" w:color="auto" w:sz="4" w:space="0"/>
              <w:left w:val="single" w:color="auto" w:sz="4" w:space="0"/>
              <w:bottom w:val="single" w:color="auto" w:sz="4" w:space="0"/>
              <w:right w:val="single" w:color="auto" w:sz="4" w:space="0"/>
            </w:tcBorders>
            <w:vAlign w:val="center"/>
          </w:tcPr>
          <w:p w14:paraId="7CA20DBA">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事故发生地周围居民区等敏感区域</w:t>
            </w:r>
          </w:p>
        </w:tc>
        <w:tc>
          <w:tcPr>
            <w:tcW w:w="2441" w:type="pct"/>
            <w:tcBorders>
              <w:top w:val="single" w:color="auto" w:sz="4" w:space="0"/>
              <w:left w:val="single" w:color="auto" w:sz="4" w:space="0"/>
              <w:bottom w:val="single" w:color="auto" w:sz="4" w:space="0"/>
            </w:tcBorders>
            <w:vAlign w:val="center"/>
          </w:tcPr>
          <w:p w14:paraId="1D2078B1">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初始加密（6次/天）监测，随着污染物浓度的下降逐渐降低频次</w:t>
            </w:r>
          </w:p>
        </w:tc>
      </w:tr>
      <w:tr w14:paraId="5E41E674">
        <w:tblPrEx>
          <w:tblBorders>
            <w:top w:val="single" w:color="auto" w:sz="4" w:space="0"/>
            <w:left w:val="none" w:color="auto" w:sz="0" w:space="0"/>
            <w:bottom w:val="single" w:color="auto" w:sz="4"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849" w:type="pct"/>
            <w:vMerge w:val="continue"/>
            <w:tcBorders>
              <w:top w:val="single" w:color="auto" w:sz="4" w:space="0"/>
              <w:bottom w:val="single" w:color="auto" w:sz="4" w:space="0"/>
              <w:right w:val="single" w:color="auto" w:sz="4" w:space="0"/>
            </w:tcBorders>
            <w:vAlign w:val="center"/>
          </w:tcPr>
          <w:p w14:paraId="115B60F7">
            <w:pPr>
              <w:adjustRightInd w:val="0"/>
              <w:snapToGrid w:val="0"/>
              <w:jc w:val="center"/>
              <w:rPr>
                <w:rFonts w:ascii="Times New Roman" w:hAnsi="Times New Roman" w:eastAsia="仿宋"/>
                <w:sz w:val="32"/>
                <w:szCs w:val="32"/>
              </w:rPr>
            </w:pPr>
          </w:p>
        </w:tc>
        <w:tc>
          <w:tcPr>
            <w:tcW w:w="1710" w:type="pct"/>
            <w:tcBorders>
              <w:top w:val="single" w:color="auto" w:sz="4" w:space="0"/>
              <w:left w:val="single" w:color="auto" w:sz="4" w:space="0"/>
              <w:bottom w:val="single" w:color="auto" w:sz="4" w:space="0"/>
              <w:right w:val="single" w:color="auto" w:sz="4" w:space="0"/>
            </w:tcBorders>
            <w:vAlign w:val="center"/>
          </w:tcPr>
          <w:p w14:paraId="7B1C94B0">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事故发生地下风向</w:t>
            </w:r>
          </w:p>
        </w:tc>
        <w:tc>
          <w:tcPr>
            <w:tcW w:w="2441" w:type="pct"/>
            <w:tcBorders>
              <w:top w:val="single" w:color="auto" w:sz="4" w:space="0"/>
              <w:left w:val="single" w:color="auto" w:sz="4" w:space="0"/>
              <w:bottom w:val="single" w:color="auto" w:sz="4" w:space="0"/>
            </w:tcBorders>
            <w:vAlign w:val="center"/>
          </w:tcPr>
          <w:p w14:paraId="12B4AB25">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4次/天或与事故发生地同频次（应急期间）</w:t>
            </w:r>
          </w:p>
        </w:tc>
      </w:tr>
      <w:tr w14:paraId="51AEF37E">
        <w:tblPrEx>
          <w:tblBorders>
            <w:top w:val="single" w:color="auto" w:sz="4" w:space="0"/>
            <w:left w:val="none" w:color="auto" w:sz="0" w:space="0"/>
            <w:bottom w:val="single" w:color="auto" w:sz="4"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849" w:type="pct"/>
            <w:vMerge w:val="continue"/>
            <w:tcBorders>
              <w:top w:val="single" w:color="auto" w:sz="4" w:space="0"/>
              <w:bottom w:val="single" w:color="auto" w:sz="4" w:space="0"/>
              <w:right w:val="single" w:color="auto" w:sz="4" w:space="0"/>
            </w:tcBorders>
            <w:vAlign w:val="center"/>
          </w:tcPr>
          <w:p w14:paraId="49618624">
            <w:pPr>
              <w:adjustRightInd w:val="0"/>
              <w:snapToGrid w:val="0"/>
              <w:jc w:val="center"/>
              <w:rPr>
                <w:rFonts w:ascii="Times New Roman" w:hAnsi="Times New Roman" w:eastAsia="仿宋"/>
                <w:sz w:val="32"/>
                <w:szCs w:val="32"/>
              </w:rPr>
            </w:pPr>
          </w:p>
        </w:tc>
        <w:tc>
          <w:tcPr>
            <w:tcW w:w="1710" w:type="pct"/>
            <w:tcBorders>
              <w:top w:val="single" w:color="auto" w:sz="4" w:space="0"/>
              <w:left w:val="single" w:color="auto" w:sz="4" w:space="0"/>
              <w:bottom w:val="single" w:color="auto" w:sz="4" w:space="0"/>
              <w:right w:val="single" w:color="auto" w:sz="4" w:space="0"/>
            </w:tcBorders>
            <w:vAlign w:val="center"/>
          </w:tcPr>
          <w:p w14:paraId="04493627">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事故发生地上风向对照点</w:t>
            </w:r>
          </w:p>
        </w:tc>
        <w:tc>
          <w:tcPr>
            <w:tcW w:w="2441" w:type="pct"/>
            <w:tcBorders>
              <w:top w:val="single" w:color="auto" w:sz="4" w:space="0"/>
              <w:left w:val="single" w:color="auto" w:sz="4" w:space="0"/>
              <w:bottom w:val="single" w:color="auto" w:sz="4" w:space="0"/>
            </w:tcBorders>
            <w:vAlign w:val="center"/>
          </w:tcPr>
          <w:p w14:paraId="07B22641">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3次/天（应急期间）</w:t>
            </w:r>
          </w:p>
        </w:tc>
      </w:tr>
      <w:tr w14:paraId="5A164508">
        <w:tblPrEx>
          <w:tblBorders>
            <w:top w:val="single" w:color="auto" w:sz="4" w:space="0"/>
            <w:left w:val="none" w:color="auto" w:sz="0" w:space="0"/>
            <w:bottom w:val="single" w:color="auto" w:sz="4"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849" w:type="pct"/>
            <w:tcBorders>
              <w:top w:val="single" w:color="auto" w:sz="4" w:space="0"/>
              <w:bottom w:val="single" w:color="auto" w:sz="4" w:space="0"/>
              <w:right w:val="single" w:color="auto" w:sz="4" w:space="0"/>
            </w:tcBorders>
            <w:vAlign w:val="center"/>
          </w:tcPr>
          <w:p w14:paraId="13823E79">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地表水环境污染事故</w:t>
            </w:r>
          </w:p>
        </w:tc>
        <w:tc>
          <w:tcPr>
            <w:tcW w:w="1710" w:type="pct"/>
            <w:tcBorders>
              <w:top w:val="single" w:color="auto" w:sz="4" w:space="0"/>
              <w:left w:val="single" w:color="auto" w:sz="4" w:space="0"/>
              <w:bottom w:val="single" w:color="auto" w:sz="4" w:space="0"/>
              <w:right w:val="single" w:color="auto" w:sz="4" w:space="0"/>
            </w:tcBorders>
            <w:vAlign w:val="center"/>
          </w:tcPr>
          <w:p w14:paraId="665B43F4">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事故发生地河流及其下游</w:t>
            </w:r>
          </w:p>
        </w:tc>
        <w:tc>
          <w:tcPr>
            <w:tcW w:w="2441" w:type="pct"/>
            <w:tcBorders>
              <w:top w:val="single" w:color="auto" w:sz="4" w:space="0"/>
              <w:left w:val="single" w:color="auto" w:sz="4" w:space="0"/>
              <w:bottom w:val="single" w:color="auto" w:sz="4" w:space="0"/>
            </w:tcBorders>
            <w:vAlign w:val="center"/>
          </w:tcPr>
          <w:p w14:paraId="1567863C">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初始加密（4次/天）监测，随着污染物浓度的下降逐渐降低频次</w:t>
            </w:r>
          </w:p>
        </w:tc>
      </w:tr>
    </w:tbl>
    <w:p w14:paraId="10C465CA">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337" w:name="_Toc423854470"/>
      <w:r>
        <w:rPr>
          <w:rFonts w:ascii="Times New Roman" w:hAnsi="Times New Roman" w:eastAsia="仿宋_GB2312"/>
          <w:kern w:val="0"/>
          <w:sz w:val="32"/>
          <w:szCs w:val="32"/>
        </w:rPr>
        <w:t xml:space="preserve">  监测项目的选择</w:t>
      </w:r>
      <w:bookmarkEnd w:id="337"/>
    </w:p>
    <w:p w14:paraId="49CB6DF2">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根据主要的危险目标，以及危险目标发生事故的类型，确定需监测的项目。</w:t>
      </w:r>
    </w:p>
    <w:p w14:paraId="6F705E8E">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38" w:name="_Toc423854471"/>
      <w:bookmarkStart w:id="339" w:name="_Toc58392463"/>
      <w:bookmarkStart w:id="340" w:name="_Toc424825893"/>
      <w:bookmarkStart w:id="341" w:name="_Toc424717028"/>
      <w:r>
        <w:rPr>
          <w:rFonts w:ascii="Times New Roman" w:hAnsi="Times New Roman" w:eastAsia="楷体_GB2312"/>
          <w:sz w:val="32"/>
          <w:szCs w:val="32"/>
        </w:rPr>
        <w:t xml:space="preserve">  应急终止</w:t>
      </w:r>
      <w:bookmarkEnd w:id="338"/>
      <w:bookmarkEnd w:id="339"/>
      <w:bookmarkEnd w:id="340"/>
      <w:bookmarkEnd w:id="341"/>
    </w:p>
    <w:p w14:paraId="056DD0E5">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342" w:name="_Toc423854472"/>
      <w:r>
        <w:rPr>
          <w:rFonts w:ascii="Times New Roman" w:hAnsi="Times New Roman" w:eastAsia="仿宋_GB2312"/>
          <w:kern w:val="0"/>
          <w:sz w:val="32"/>
          <w:szCs w:val="32"/>
        </w:rPr>
        <w:t xml:space="preserve">  应急终止的条件</w:t>
      </w:r>
      <w:bookmarkEnd w:id="342"/>
    </w:p>
    <w:p w14:paraId="7AC2782B">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符合下列条件之一的，即满足应急终止条件:</w:t>
      </w:r>
    </w:p>
    <w:p w14:paraId="55D43A28">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（1）事件现场得到控制，事件条件已经消除；</w:t>
      </w:r>
    </w:p>
    <w:p w14:paraId="3762D1A1">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（2）污染源的泄漏或释放已降至规定限值以内；</w:t>
      </w:r>
    </w:p>
    <w:p w14:paraId="138C2A91">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（3）事件所造成的危害已经被彻底消除，无继发可能；</w:t>
      </w:r>
    </w:p>
    <w:p w14:paraId="7A8174BF">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（4）事件现场的各种专业应急处置行动已无继续的必要；</w:t>
      </w:r>
    </w:p>
    <w:p w14:paraId="09903AFE">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（5）采取了必要的防护措施以保护公众免受再次灾害，并使事件可能引起的中长期影响趋于合理且尽量低的水平。</w:t>
      </w:r>
    </w:p>
    <w:p w14:paraId="006D1C84">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343" w:name="_Toc423854473"/>
      <w:r>
        <w:rPr>
          <w:rFonts w:ascii="Times New Roman" w:hAnsi="Times New Roman" w:eastAsia="仿宋_GB2312"/>
          <w:kern w:val="0"/>
          <w:sz w:val="32"/>
          <w:szCs w:val="32"/>
        </w:rPr>
        <w:t xml:space="preserve">  应急终止的程序</w:t>
      </w:r>
      <w:bookmarkEnd w:id="343"/>
    </w:p>
    <w:p w14:paraId="111A1745">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应急响应终止按照“谁启动、谁终止”的原则执行。</w:t>
      </w:r>
    </w:p>
    <w:p w14:paraId="1DB45AF8">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（1）现场应急指挥部确认终止时机，或事件责任单位提出，经开发区突发环境事件应急指挥部批准；</w:t>
      </w:r>
    </w:p>
    <w:p w14:paraId="070C603A">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（2）现场应急指挥部向各专业应急救援队伍下达应急终止命令；</w:t>
      </w:r>
    </w:p>
    <w:p w14:paraId="298F11C8">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（3）应急状态终止后，现场应急指挥部应根据上级突发环境事件应急领导小组有关指示和实际情况，继续进行环境监测和评价工作，直至其他补救措施无需继续进行为止。</w:t>
      </w:r>
    </w:p>
    <w:p w14:paraId="44D14ACF">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344" w:name="_Toc423854474"/>
      <w:r>
        <w:rPr>
          <w:rFonts w:ascii="Times New Roman" w:hAnsi="Times New Roman" w:eastAsia="仿宋_GB2312"/>
          <w:kern w:val="0"/>
          <w:sz w:val="32"/>
          <w:szCs w:val="32"/>
        </w:rPr>
        <w:t xml:space="preserve">  应急终止后的行动</w:t>
      </w:r>
      <w:bookmarkEnd w:id="344"/>
    </w:p>
    <w:p w14:paraId="5A563AB1">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（1）通知开发区内相关部门、企业（或事业）单位、周边社区、社会关注区及人员事件危险已解除；</w:t>
      </w:r>
    </w:p>
    <w:p w14:paraId="692ADDEB">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（2）协助企业（或事业）单位对现场中暴露的工作人员、应急行动人员和受污染设备进行清洁净化；</w:t>
      </w:r>
    </w:p>
    <w:p w14:paraId="0E269FA2">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（3）事件情况上报事项；</w:t>
      </w:r>
    </w:p>
    <w:p w14:paraId="70DAD161">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（4）需向事件调查处理小组移交的相关事项；</w:t>
      </w:r>
    </w:p>
    <w:p w14:paraId="52FE2712">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（5）事件损失调查与责任认定；</w:t>
      </w:r>
    </w:p>
    <w:p w14:paraId="7B1E9A7D">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（6）事件应急救援工作总结报告；</w:t>
      </w:r>
    </w:p>
    <w:p w14:paraId="53A65748">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（7）应急预案的修订。</w:t>
      </w:r>
    </w:p>
    <w:p w14:paraId="3031D13B">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45" w:name="_Toc23755"/>
      <w:bookmarkStart w:id="346" w:name="_Toc426905842"/>
      <w:bookmarkStart w:id="347" w:name="_Toc58392464"/>
      <w:r>
        <w:rPr>
          <w:rFonts w:ascii="Times New Roman" w:hAnsi="Times New Roman" w:eastAsia="楷体_GB2312"/>
          <w:sz w:val="32"/>
          <w:szCs w:val="32"/>
        </w:rPr>
        <w:t xml:space="preserve">  与连云港市突发环境事件应急预案衔接</w:t>
      </w:r>
      <w:bookmarkEnd w:id="345"/>
      <w:bookmarkEnd w:id="346"/>
      <w:bookmarkEnd w:id="347"/>
    </w:p>
    <w:p w14:paraId="039D04D4">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348" w:name="_Toc7950"/>
      <w:r>
        <w:rPr>
          <w:rFonts w:ascii="Times New Roman" w:hAnsi="Times New Roman" w:eastAsia="仿宋_GB2312"/>
          <w:kern w:val="0"/>
          <w:sz w:val="32"/>
          <w:szCs w:val="32"/>
        </w:rPr>
        <w:t xml:space="preserve">  风险应急预案的衔接</w:t>
      </w:r>
      <w:bookmarkEnd w:id="348"/>
    </w:p>
    <w:p w14:paraId="37EA3186">
      <w:pPr>
        <w:pStyle w:val="6"/>
        <w:snapToGrid w:val="0"/>
        <w:spacing w:before="0" w:after="0" w:line="520" w:lineRule="exact"/>
        <w:ind w:left="0" w:firstLine="640" w:firstLineChars="200"/>
        <w:rPr>
          <w:rFonts w:eastAsia="仿宋_GB2312"/>
          <w:sz w:val="32"/>
          <w:szCs w:val="32"/>
        </w:rPr>
      </w:pPr>
      <w:r>
        <w:rPr>
          <w:rFonts w:eastAsia="仿宋_GB2312"/>
          <w:sz w:val="32"/>
          <w:szCs w:val="32"/>
        </w:rPr>
        <w:t xml:space="preserve">  应急组织机构、人员衔接</w:t>
      </w:r>
    </w:p>
    <w:p w14:paraId="64358A7A">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当发生风险事故时，市生态环境局开发区分局应及时承担起与连云港市人民政府及各职能管理部门的应急指挥机构的联系工作，及时将事故发生情况及最新进展向政府及有关部门汇报，并将上级指挥机构的命令及时向开发区应急指挥部汇报；编制环境污染事故报告，并将报告向上级部门汇报。</w:t>
      </w:r>
    </w:p>
    <w:p w14:paraId="58D6152F">
      <w:pPr>
        <w:pStyle w:val="6"/>
        <w:snapToGrid w:val="0"/>
        <w:spacing w:before="0" w:after="0" w:line="520" w:lineRule="exact"/>
        <w:ind w:left="0" w:firstLine="640" w:firstLineChars="200"/>
        <w:rPr>
          <w:rFonts w:eastAsia="仿宋_GB2312"/>
          <w:sz w:val="32"/>
          <w:szCs w:val="32"/>
        </w:rPr>
      </w:pPr>
      <w:r>
        <w:rPr>
          <w:rFonts w:eastAsia="仿宋_GB2312"/>
          <w:sz w:val="32"/>
          <w:szCs w:val="32"/>
        </w:rPr>
        <w:t xml:space="preserve">  预案分级响应衔接</w:t>
      </w:r>
    </w:p>
    <w:p w14:paraId="57FC649F">
      <w:pPr>
        <w:numPr>
          <w:ilvl w:val="0"/>
          <w:numId w:val="4"/>
        </w:numPr>
        <w:snapToGrid w:val="0"/>
        <w:spacing w:line="560" w:lineRule="exact"/>
        <w:ind w:left="0" w:firstLine="640" w:firstLineChars="200"/>
        <w:rPr>
          <w:rFonts w:ascii="Times New Roman" w:hAnsi="Times New Roman" w:eastAsia="仿宋_GB2312"/>
          <w:sz w:val="32"/>
          <w:szCs w:val="32"/>
        </w:rPr>
      </w:pPr>
      <w:r>
        <w:rPr>
          <w:rFonts w:ascii="Times New Roman" w:hAnsi="Times New Roman" w:eastAsia="仿宋_GB2312"/>
          <w:sz w:val="32"/>
          <w:szCs w:val="32"/>
        </w:rPr>
        <w:t>可能发生企事业单位级突发环境事故：在污染事故现场处置妥当后，经现场应急指挥部研究确定后，向开发区突发环境事件应急指挥部及连云港市人民政府、连云港市生态环境局报告处理结果。</w:t>
      </w:r>
    </w:p>
    <w:p w14:paraId="527AA9A2">
      <w:pPr>
        <w:numPr>
          <w:ilvl w:val="0"/>
          <w:numId w:val="4"/>
        </w:numPr>
        <w:snapToGrid w:val="0"/>
        <w:spacing w:line="560" w:lineRule="exact"/>
        <w:ind w:left="0" w:firstLine="640" w:firstLineChars="200"/>
        <w:rPr>
          <w:rFonts w:ascii="Times New Roman" w:hAnsi="Times New Roman" w:eastAsia="仿宋_GB2312"/>
          <w:sz w:val="32"/>
          <w:szCs w:val="32"/>
        </w:rPr>
      </w:pPr>
      <w:r>
        <w:rPr>
          <w:rFonts w:ascii="Times New Roman" w:hAnsi="Times New Roman" w:eastAsia="仿宋_GB2312"/>
          <w:sz w:val="32"/>
          <w:szCs w:val="32"/>
        </w:rPr>
        <w:t>可能发生开发区级或社会级突发环境事故：应急指挥部在接到事故报警后，及时向连云港市生态环境局应急办报告，并请求支援；开发区应急指挥部进行紧急动员，在连云港市人民政府的组织协调下，适时启动连云港市突发环境事件应急预案，迅速调集救援力量，指挥开发区应急救援成员单位、县区相关职能部门，根据连云港市突发环境事件应急预案组成现场应急指挥部，按照各自的职责和现场救援具体方案开展抢险救援工作，开发区应急指挥部听从现场指挥部的领导。现场指挥部同时将有关进展情况向连云港市人民政府汇报；污染事故基本控制稳定后，现场应急指挥部将根据专家意见，迅速调集后援力量展开事故处置工作。现场应急处理结束。</w:t>
      </w:r>
    </w:p>
    <w:p w14:paraId="71A78D8B">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当污染事故有进一步扩大、发展趋势，或因事故衍生问题造成重大社会不稳定事态，现场应急指挥部将根据事态发展，及时调整应急响应级别，发布预警信息，同时由向连云港市生态环境局应急办、连云港市人民政府请求援助，由连云港市人民政府启动相应级别应急预案，必要时由连云港市人民政府向省应急中心汇报并请求援助。</w:t>
      </w:r>
    </w:p>
    <w:p w14:paraId="2A5C2742">
      <w:pPr>
        <w:pStyle w:val="6"/>
        <w:snapToGrid w:val="0"/>
        <w:spacing w:before="0" w:after="0" w:line="560" w:lineRule="exact"/>
        <w:ind w:left="0" w:firstLine="640" w:firstLineChars="200"/>
        <w:rPr>
          <w:rFonts w:eastAsia="仿宋_GB2312"/>
          <w:sz w:val="32"/>
          <w:szCs w:val="32"/>
        </w:rPr>
      </w:pPr>
      <w:r>
        <w:rPr>
          <w:rFonts w:eastAsia="仿宋_GB2312"/>
          <w:sz w:val="32"/>
          <w:szCs w:val="32"/>
        </w:rPr>
        <w:t xml:space="preserve">  应急救援保障衔接</w:t>
      </w:r>
    </w:p>
    <w:p w14:paraId="48D59654">
      <w:pPr>
        <w:numPr>
          <w:ilvl w:val="0"/>
          <w:numId w:val="5"/>
        </w:numPr>
        <w:snapToGrid w:val="0"/>
        <w:spacing w:line="560" w:lineRule="exact"/>
        <w:ind w:left="0" w:firstLine="640" w:firstLineChars="200"/>
        <w:rPr>
          <w:rFonts w:ascii="Times New Roman" w:hAnsi="Times New Roman" w:eastAsia="仿宋_GB2312"/>
          <w:sz w:val="32"/>
          <w:szCs w:val="32"/>
        </w:rPr>
      </w:pPr>
      <w:r>
        <w:rPr>
          <w:rFonts w:ascii="Times New Roman" w:hAnsi="Times New Roman" w:eastAsia="仿宋_GB2312"/>
          <w:sz w:val="32"/>
          <w:szCs w:val="32"/>
        </w:rPr>
        <w:t>开发区企业互助体系：开发区内各企业建立良好的应急互助关系，在突发环境事件发生后，能够相互支援。</w:t>
      </w:r>
    </w:p>
    <w:p w14:paraId="3FC824A8">
      <w:pPr>
        <w:numPr>
          <w:ilvl w:val="0"/>
          <w:numId w:val="5"/>
        </w:numPr>
        <w:snapToGrid w:val="0"/>
        <w:spacing w:line="560" w:lineRule="exact"/>
        <w:ind w:left="0" w:firstLine="640" w:firstLineChars="200"/>
        <w:rPr>
          <w:rFonts w:ascii="Times New Roman" w:hAnsi="Times New Roman" w:eastAsia="仿宋_GB2312"/>
          <w:sz w:val="32"/>
          <w:szCs w:val="32"/>
        </w:rPr>
      </w:pPr>
      <w:r>
        <w:rPr>
          <w:rFonts w:ascii="Times New Roman" w:hAnsi="Times New Roman" w:eastAsia="仿宋_GB2312"/>
          <w:sz w:val="32"/>
          <w:szCs w:val="32"/>
        </w:rPr>
        <w:t>公共援助力量：开发区可汇报连云港市生态环境局应急办，并由连云港市生态环境局应急办协调连云港市及周边区县各类公共力量以及各相关职能部门，请求救援物资、设备的支持。</w:t>
      </w:r>
    </w:p>
    <w:p w14:paraId="12B0F31A">
      <w:pPr>
        <w:numPr>
          <w:ilvl w:val="0"/>
          <w:numId w:val="5"/>
        </w:numPr>
        <w:snapToGrid w:val="0"/>
        <w:spacing w:line="560" w:lineRule="exact"/>
        <w:ind w:left="0" w:firstLine="640" w:firstLineChars="200"/>
        <w:rPr>
          <w:rFonts w:ascii="Times New Roman" w:hAnsi="Times New Roman" w:eastAsia="仿宋_GB2312"/>
          <w:sz w:val="32"/>
          <w:szCs w:val="32"/>
        </w:rPr>
      </w:pPr>
      <w:r>
        <w:rPr>
          <w:rFonts w:ascii="Times New Roman" w:hAnsi="Times New Roman" w:eastAsia="仿宋_GB2312"/>
          <w:sz w:val="32"/>
          <w:szCs w:val="32"/>
        </w:rPr>
        <w:t>专家援助：开发区建立专家库，在紧急情况下，可以联系获取技术支持。</w:t>
      </w:r>
    </w:p>
    <w:p w14:paraId="7CF1BD5B">
      <w:pPr>
        <w:pStyle w:val="6"/>
        <w:snapToGrid w:val="0"/>
        <w:spacing w:before="0" w:after="0" w:line="560" w:lineRule="exact"/>
        <w:ind w:left="0" w:firstLine="640" w:firstLineChars="200"/>
        <w:rPr>
          <w:rFonts w:eastAsia="仿宋_GB2312"/>
          <w:sz w:val="32"/>
          <w:szCs w:val="32"/>
        </w:rPr>
      </w:pPr>
      <w:r>
        <w:rPr>
          <w:rFonts w:eastAsia="仿宋_GB2312"/>
          <w:sz w:val="32"/>
          <w:szCs w:val="32"/>
        </w:rPr>
        <w:t xml:space="preserve">  应急培训的衔接</w:t>
      </w:r>
    </w:p>
    <w:p w14:paraId="54533ADB">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开发区在开展应急培训计划的同时，还应积极配合、参与连云港市生态环境局组织、开展的应急培训计划，在发生风险事故时，及时与连云港市生态环境局应急组织取得联系。</w:t>
      </w:r>
    </w:p>
    <w:p w14:paraId="4EF1B465">
      <w:pPr>
        <w:pStyle w:val="6"/>
        <w:snapToGrid w:val="0"/>
        <w:spacing w:before="0" w:after="0" w:line="560" w:lineRule="exact"/>
        <w:ind w:left="0" w:firstLine="640" w:firstLineChars="200"/>
        <w:rPr>
          <w:rFonts w:eastAsia="仿宋_GB2312"/>
          <w:sz w:val="32"/>
          <w:szCs w:val="32"/>
        </w:rPr>
      </w:pPr>
      <w:r>
        <w:rPr>
          <w:rFonts w:eastAsia="仿宋_GB2312"/>
          <w:sz w:val="32"/>
          <w:szCs w:val="32"/>
        </w:rPr>
        <w:t xml:space="preserve">  公众教育的衔接</w:t>
      </w:r>
    </w:p>
    <w:p w14:paraId="26A4E0DD">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开发区管委会对开发区内各企业开展教育、培训时，应加强与区内公众和开发区相关单位的交流，如发生事故，可更好的疏散、防护污染。</w:t>
      </w:r>
    </w:p>
    <w:p w14:paraId="72B0EF25">
      <w:pPr>
        <w:numPr>
          <w:ilvl w:val="2"/>
          <w:numId w:val="1"/>
        </w:numPr>
        <w:snapToGrid w:val="0"/>
        <w:spacing w:line="560" w:lineRule="exact"/>
        <w:ind w:left="0" w:firstLine="640" w:firstLineChars="200"/>
        <w:outlineLvl w:val="2"/>
        <w:rPr>
          <w:rFonts w:ascii="Times New Roman" w:hAnsi="Times New Roman" w:eastAsia="仿宋_GB2312"/>
          <w:kern w:val="0"/>
          <w:sz w:val="32"/>
          <w:szCs w:val="32"/>
        </w:rPr>
      </w:pPr>
      <w:bookmarkStart w:id="349" w:name="_Toc4773"/>
      <w:r>
        <w:rPr>
          <w:rFonts w:ascii="Times New Roman" w:hAnsi="Times New Roman" w:eastAsia="仿宋_GB2312"/>
          <w:kern w:val="0"/>
          <w:sz w:val="32"/>
          <w:szCs w:val="32"/>
        </w:rPr>
        <w:t xml:space="preserve">  风险防范措施的衔接</w:t>
      </w:r>
      <w:bookmarkEnd w:id="349"/>
    </w:p>
    <w:p w14:paraId="7CC5D140">
      <w:pPr>
        <w:pStyle w:val="6"/>
        <w:snapToGrid w:val="0"/>
        <w:spacing w:before="0" w:after="0" w:line="560" w:lineRule="exact"/>
        <w:ind w:left="0" w:firstLine="640" w:firstLineChars="200"/>
        <w:rPr>
          <w:rFonts w:eastAsia="仿宋_GB2312"/>
          <w:sz w:val="32"/>
          <w:szCs w:val="32"/>
        </w:rPr>
      </w:pPr>
      <w:r>
        <w:rPr>
          <w:rFonts w:eastAsia="仿宋_GB2312"/>
          <w:sz w:val="32"/>
          <w:szCs w:val="32"/>
        </w:rPr>
        <w:t xml:space="preserve">  污染治理措施的衔接</w:t>
      </w:r>
    </w:p>
    <w:p w14:paraId="461D4B7D">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当风险事故废水超过开发区能够处理范围或事态已无法控制时，应及时向相关单位请求援助，以免风险事故发生扩大。</w:t>
      </w:r>
    </w:p>
    <w:p w14:paraId="6B6A1FA4">
      <w:pPr>
        <w:pStyle w:val="6"/>
        <w:snapToGrid w:val="0"/>
        <w:spacing w:before="0" w:after="0" w:line="560" w:lineRule="exact"/>
        <w:ind w:left="0" w:firstLine="640" w:firstLineChars="200"/>
        <w:rPr>
          <w:rFonts w:eastAsia="仿宋_GB2312"/>
          <w:sz w:val="32"/>
          <w:szCs w:val="32"/>
        </w:rPr>
      </w:pPr>
      <w:r>
        <w:rPr>
          <w:rFonts w:eastAsia="仿宋_GB2312"/>
          <w:sz w:val="32"/>
          <w:szCs w:val="32"/>
        </w:rPr>
        <w:t xml:space="preserve">  消防及火灾报警系统的衔接</w:t>
      </w:r>
    </w:p>
    <w:p w14:paraId="3BE9F1D8">
      <w:pPr>
        <w:snapToGrid w:val="0"/>
        <w:spacing w:line="560" w:lineRule="exact"/>
        <w:ind w:firstLine="640" w:firstLineChars="200"/>
        <w:rPr>
          <w:rFonts w:ascii="Times New Roman" w:hAnsi="Times New Roman" w:eastAsia="仿宋_GB2312"/>
          <w:sz w:val="32"/>
          <w:szCs w:val="32"/>
        </w:rPr>
        <w:sectPr>
          <w:pgSz w:w="11906" w:h="16838"/>
          <w:pgMar w:top="2098" w:right="1474" w:bottom="1985" w:left="1588" w:header="851" w:footer="1588" w:gutter="0"/>
          <w:cols w:space="720" w:num="1"/>
          <w:docGrid w:linePitch="312" w:charSpace="0"/>
        </w:sectPr>
      </w:pPr>
      <w:r>
        <w:rPr>
          <w:rFonts w:ascii="Times New Roman" w:hAnsi="Times New Roman" w:eastAsia="仿宋_GB2312"/>
          <w:sz w:val="32"/>
          <w:szCs w:val="32"/>
        </w:rPr>
        <w:t>开发区内火灾事故由</w:t>
      </w:r>
      <w:r>
        <w:rPr>
          <w:rFonts w:ascii="Times New Roman" w:hAnsi="Times New Roman" w:eastAsia="仿宋_GB2312"/>
          <w:kern w:val="0"/>
          <w:sz w:val="32"/>
          <w:szCs w:val="32"/>
        </w:rPr>
        <w:t>连云港市公安消防支队开发区大队</w:t>
      </w:r>
      <w:r>
        <w:rPr>
          <w:rFonts w:ascii="Times New Roman" w:hAnsi="Times New Roman" w:eastAsia="仿宋_GB2312"/>
          <w:sz w:val="32"/>
          <w:szCs w:val="32"/>
        </w:rPr>
        <w:t>处理。开发区采用电话报警，火灾报警信号报送至开发区大队。</w:t>
      </w:r>
    </w:p>
    <w:p w14:paraId="151C0409">
      <w:pPr>
        <w:numPr>
          <w:ilvl w:val="0"/>
          <w:numId w:val="1"/>
        </w:numPr>
        <w:snapToGrid w:val="0"/>
        <w:spacing w:line="580" w:lineRule="exact"/>
        <w:ind w:left="0" w:firstLine="640" w:firstLineChars="200"/>
        <w:outlineLvl w:val="0"/>
        <w:rPr>
          <w:rFonts w:ascii="Times New Roman" w:hAnsi="Times New Roman" w:eastAsia="黑体"/>
          <w:sz w:val="32"/>
          <w:szCs w:val="32"/>
        </w:rPr>
      </w:pPr>
      <w:bookmarkStart w:id="350" w:name="_Toc58392465"/>
      <w:bookmarkStart w:id="351" w:name="_Toc424825894"/>
      <w:bookmarkStart w:id="352" w:name="_Toc423854475"/>
      <w:bookmarkStart w:id="353" w:name="_Toc424717029"/>
      <w:r>
        <w:rPr>
          <w:rFonts w:ascii="Times New Roman" w:hAnsi="Times New Roman" w:eastAsia="黑体"/>
          <w:sz w:val="32"/>
          <w:szCs w:val="32"/>
        </w:rPr>
        <w:t xml:space="preserve">  后期处置</w:t>
      </w:r>
      <w:bookmarkEnd w:id="350"/>
      <w:bookmarkEnd w:id="351"/>
      <w:bookmarkEnd w:id="352"/>
      <w:bookmarkEnd w:id="353"/>
    </w:p>
    <w:p w14:paraId="22BB11DA">
      <w:pPr>
        <w:numPr>
          <w:ilvl w:val="1"/>
          <w:numId w:val="1"/>
        </w:numPr>
        <w:snapToGrid w:val="0"/>
        <w:spacing w:line="580" w:lineRule="exact"/>
        <w:ind w:left="0" w:firstLine="640" w:firstLineChars="200"/>
        <w:outlineLvl w:val="1"/>
        <w:rPr>
          <w:rFonts w:ascii="Times New Roman" w:hAnsi="Times New Roman" w:eastAsia="楷体_GB2312"/>
          <w:sz w:val="32"/>
          <w:szCs w:val="32"/>
        </w:rPr>
      </w:pPr>
      <w:bookmarkStart w:id="354" w:name="_Toc58392466"/>
      <w:bookmarkStart w:id="355" w:name="_Toc424717030"/>
      <w:bookmarkStart w:id="356" w:name="_Toc424825895"/>
      <w:bookmarkStart w:id="357" w:name="_Toc423854476"/>
      <w:r>
        <w:rPr>
          <w:rFonts w:ascii="Times New Roman" w:hAnsi="Times New Roman" w:eastAsia="楷体_GB2312"/>
          <w:sz w:val="32"/>
          <w:szCs w:val="32"/>
        </w:rPr>
        <w:t xml:space="preserve">  善后处置</w:t>
      </w:r>
      <w:bookmarkEnd w:id="354"/>
      <w:bookmarkEnd w:id="355"/>
      <w:bookmarkEnd w:id="356"/>
      <w:bookmarkEnd w:id="357"/>
    </w:p>
    <w:p w14:paraId="654FB995">
      <w:pPr>
        <w:snapToGrid w:val="0"/>
        <w:spacing w:line="58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环境事件发生后，要做好受污染区域内群众的思想工作，安定群众情绪，并尽快开展善后处置工作，包括人员安置、补偿、宣传教育等工作。对突发环境事件产生的污染物进行认真收集、清理。由主管领导负责，组织有关部门分析事故原因，汲取事故教训，指挥部要将事故情况进行登记、整理和存档。做好突发环境事件记录和突发环境事件后的交接工作，制订切实可行的防范措施，防止类似事故发生。</w:t>
      </w:r>
    </w:p>
    <w:p w14:paraId="193CB2CD">
      <w:pPr>
        <w:snapToGrid w:val="0"/>
        <w:spacing w:line="58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组织专家对突发环境事件中长期环境影响进行评估，提出补偿和对遭受污染的生态环境进行恢复的建议。</w:t>
      </w:r>
    </w:p>
    <w:p w14:paraId="09BD864E">
      <w:pPr>
        <w:numPr>
          <w:ilvl w:val="1"/>
          <w:numId w:val="1"/>
        </w:numPr>
        <w:snapToGrid w:val="0"/>
        <w:spacing w:line="580" w:lineRule="exact"/>
        <w:ind w:left="0" w:firstLine="640" w:firstLineChars="200"/>
        <w:outlineLvl w:val="1"/>
        <w:rPr>
          <w:rFonts w:ascii="Times New Roman" w:hAnsi="Times New Roman" w:eastAsia="楷体_GB2312"/>
          <w:sz w:val="32"/>
          <w:szCs w:val="32"/>
        </w:rPr>
      </w:pPr>
      <w:bookmarkStart w:id="358" w:name="_Toc424825896"/>
      <w:bookmarkStart w:id="359" w:name="_Toc58392467"/>
      <w:bookmarkStart w:id="360" w:name="_Toc423854477"/>
      <w:bookmarkStart w:id="361" w:name="_Toc424717031"/>
      <w:r>
        <w:rPr>
          <w:rFonts w:ascii="Times New Roman" w:hAnsi="Times New Roman" w:eastAsia="楷体_GB2312"/>
          <w:sz w:val="32"/>
          <w:szCs w:val="32"/>
        </w:rPr>
        <w:t xml:space="preserve">  保险</w:t>
      </w:r>
      <w:bookmarkEnd w:id="358"/>
      <w:bookmarkEnd w:id="359"/>
      <w:bookmarkEnd w:id="360"/>
      <w:bookmarkEnd w:id="361"/>
    </w:p>
    <w:p w14:paraId="705D6889">
      <w:pPr>
        <w:snapToGrid w:val="0"/>
        <w:spacing w:line="58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建立突发环境事件社会保险机制，对突发环境事件应急工作人员要办理意外伤害保险，对可能引起突发环境事件的企事业单位，要依法办理相关责任险或其他险种。对在事件中出现的人员、财产损失依法、及时确保保险理赔工作到位。</w:t>
      </w:r>
    </w:p>
    <w:p w14:paraId="0DABCFA9">
      <w:pPr>
        <w:numPr>
          <w:ilvl w:val="0"/>
          <w:numId w:val="1"/>
        </w:numPr>
        <w:snapToGrid w:val="0"/>
        <w:spacing w:line="520" w:lineRule="exact"/>
        <w:ind w:left="0" w:firstLine="640" w:firstLineChars="200"/>
        <w:outlineLvl w:val="0"/>
        <w:rPr>
          <w:rFonts w:ascii="Times New Roman" w:hAnsi="Times New Roman" w:eastAsia="黑体"/>
          <w:sz w:val="32"/>
          <w:szCs w:val="32"/>
        </w:rPr>
      </w:pPr>
      <w:bookmarkStart w:id="362" w:name="_Toc58392468"/>
      <w:r>
        <w:rPr>
          <w:rFonts w:ascii="Times New Roman" w:hAnsi="Times New Roman" w:eastAsia="黑体"/>
          <w:sz w:val="32"/>
          <w:szCs w:val="32"/>
        </w:rPr>
        <w:t xml:space="preserve">  应急培训及演练</w:t>
      </w:r>
      <w:bookmarkEnd w:id="362"/>
    </w:p>
    <w:p w14:paraId="7A99721D">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63" w:name="_Toc58392469"/>
      <w:r>
        <w:rPr>
          <w:rFonts w:ascii="Times New Roman" w:hAnsi="Times New Roman" w:eastAsia="楷体_GB2312"/>
          <w:sz w:val="32"/>
          <w:szCs w:val="32"/>
        </w:rPr>
        <w:t xml:space="preserve">  培训</w:t>
      </w:r>
      <w:bookmarkEnd w:id="363"/>
    </w:p>
    <w:p w14:paraId="34D06162">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为了确保快速、有序和有效的应急反应能力，连云港经济技术开发区应急指挥部成员应认真学习本预案内容，明确在救援现场所担负的责任和义务；对于开发区内企业员工，必须开展应急培训，熟悉生产使用的危险物质的特性，可能产生的各种紧急事故以及应急行动。</w:t>
      </w:r>
    </w:p>
    <w:p w14:paraId="0E1ADFEF">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培训的内容和方式</w:t>
      </w:r>
    </w:p>
    <w:p w14:paraId="7675BEDA">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（1）应急人员的培训内容</w:t>
      </w:r>
    </w:p>
    <w:p w14:paraId="5FC60D13">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a.如何识别危险；</w:t>
      </w:r>
    </w:p>
    <w:p w14:paraId="77DD1D92">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b.如何启动紧急警报系统；</w:t>
      </w:r>
    </w:p>
    <w:p w14:paraId="0AAB29C1">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c.危险物质泄漏控制措施；</w:t>
      </w:r>
    </w:p>
    <w:p w14:paraId="6E6E4941">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d.各种应急设备的使用方法；</w:t>
      </w:r>
    </w:p>
    <w:p w14:paraId="183AF4D6">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e.防护用品的佩戴是使用；</w:t>
      </w:r>
    </w:p>
    <w:p w14:paraId="604651E3">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f.如何安全疏散人群等。</w:t>
      </w:r>
    </w:p>
    <w:p w14:paraId="74744EE9">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（2）监测人员的培训内容</w:t>
      </w:r>
    </w:p>
    <w:p w14:paraId="47AEE82E">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a.环境监测技术规范；</w:t>
      </w:r>
    </w:p>
    <w:p w14:paraId="07E3C54C">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b.应急监测的基本方法；</w:t>
      </w:r>
    </w:p>
    <w:p w14:paraId="5D2D68FB">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c.便携式现场应急监测仪器的使用方法；</w:t>
      </w:r>
    </w:p>
    <w:p w14:paraId="57521237">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d.特征污染物和常见污染物的快速监测方法；</w:t>
      </w:r>
    </w:p>
    <w:p w14:paraId="50D1496F">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e.监测布点和频次基本原则；</w:t>
      </w:r>
    </w:p>
    <w:p w14:paraId="29BBFD32">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f.现场监测人员自身防护的要求；</w:t>
      </w:r>
    </w:p>
    <w:p w14:paraId="7F86FD9A">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e.应急监测设备、耗材和试剂的日常维护和保养等。</w:t>
      </w:r>
    </w:p>
    <w:p w14:paraId="0B0AB0FE">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（3）公众的培训内容</w:t>
      </w:r>
    </w:p>
    <w:p w14:paraId="19B0C7DF">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a.潜在的重大危险事故及其后果；</w:t>
      </w:r>
    </w:p>
    <w:p w14:paraId="380D3957">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b.事故警报与通知的规定；</w:t>
      </w:r>
    </w:p>
    <w:p w14:paraId="33512118">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c.灭火器的使用以及灭火步骤训练；</w:t>
      </w:r>
    </w:p>
    <w:p w14:paraId="4D26D7C8">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d.基本个人防护知识；</w:t>
      </w:r>
    </w:p>
    <w:p w14:paraId="6FF3F032">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e.撤离的组织、方法和程序；</w:t>
      </w:r>
    </w:p>
    <w:p w14:paraId="351E6667">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f.在污染区行动时必须遵守的规则；</w:t>
      </w:r>
    </w:p>
    <w:p w14:paraId="5D0F8A1E">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g.自救与互救的基本常识。</w:t>
      </w:r>
    </w:p>
    <w:p w14:paraId="3BCDF355">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（3）培训的方式</w:t>
      </w:r>
    </w:p>
    <w:p w14:paraId="697FA237">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培训的形式可以根据实际特点，采取多种形式进行。如定期开设培训班、上课、事故讲座、广播、发放宣传资料以及利用厂区内黑板报和墙报等，使教育培训形象生动。</w:t>
      </w:r>
    </w:p>
    <w:p w14:paraId="5A98E800">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培训的要求</w:t>
      </w:r>
    </w:p>
    <w:p w14:paraId="0B3EA877">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针对性：针对可能的环境事故情景及承担的的应急职责，不同的人员不同的内容；</w:t>
      </w:r>
    </w:p>
    <w:p w14:paraId="116E0B72">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周期性：培训有一定的周期，一般至少一年进行一次。</w:t>
      </w:r>
    </w:p>
    <w:p w14:paraId="605128EF">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定期性：定期进行技能培训；</w:t>
      </w:r>
    </w:p>
    <w:p w14:paraId="1E450D06">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真实性；尽量贴近实际应急活动。</w:t>
      </w:r>
    </w:p>
    <w:p w14:paraId="49F766AD">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64" w:name="_Toc58392470"/>
      <w:r>
        <w:rPr>
          <w:rFonts w:ascii="Times New Roman" w:hAnsi="Times New Roman" w:eastAsia="楷体_GB2312"/>
          <w:sz w:val="32"/>
          <w:szCs w:val="32"/>
        </w:rPr>
        <w:t xml:space="preserve">  演习</w:t>
      </w:r>
      <w:bookmarkEnd w:id="364"/>
    </w:p>
    <w:p w14:paraId="12DFEC96">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演习的目的</w:t>
      </w:r>
    </w:p>
    <w:p w14:paraId="0050CE96">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评估应急预案的各部分或整体是否能有效的付诸行动，验证应急预案应急可能出现的各种环境污染事故的适应性，找出应急准备工作中需要改善的地方，确保建立和保持可靠的通信渠道及应急人员的协同性，确保所有应急组织都熟悉并能够履行他们的职责，找出需要改善的潜在问题，提高整体应急反应能力。</w:t>
      </w:r>
    </w:p>
    <w:p w14:paraId="2277A221">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演习的任务</w:t>
      </w:r>
    </w:p>
    <w:p w14:paraId="516D3E6D">
      <w:pPr>
        <w:snapToGrid w:val="0"/>
        <w:spacing w:line="520" w:lineRule="exact"/>
        <w:ind w:firstLine="640" w:firstLineChars="200"/>
        <w:rPr>
          <w:rFonts w:ascii="Times New Roman" w:hAnsi="Times New Roman" w:eastAsia="仿宋_GB2312"/>
          <w:spacing w:val="-10"/>
          <w:sz w:val="32"/>
          <w:szCs w:val="32"/>
        </w:rPr>
      </w:pPr>
      <w:r>
        <w:rPr>
          <w:rFonts w:ascii="Times New Roman" w:hAnsi="Times New Roman" w:eastAsia="仿宋_GB2312"/>
          <w:sz w:val="32"/>
          <w:szCs w:val="32"/>
        </w:rPr>
        <w:t>开</w:t>
      </w:r>
      <w:r>
        <w:rPr>
          <w:rFonts w:ascii="Times New Roman" w:hAnsi="Times New Roman" w:eastAsia="仿宋_GB2312"/>
          <w:spacing w:val="-10"/>
          <w:sz w:val="32"/>
          <w:szCs w:val="32"/>
        </w:rPr>
        <w:t>展应急演习的过程可划分为演习准备、实施和总结三个阶段。</w:t>
      </w:r>
    </w:p>
    <w:p w14:paraId="71654FBA">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（1）演习的准备</w:t>
      </w:r>
    </w:p>
    <w:p w14:paraId="1FA20EF9">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成立一个演习策划组是开展应急演习的有效方法，它是演练的领导机构，是演练准备与实施的指挥部门，对演练实施全面控制。</w:t>
      </w:r>
    </w:p>
    <w:p w14:paraId="416ECC98">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②</w:t>
      </w:r>
      <w:r>
        <w:rPr>
          <w:rFonts w:ascii="Times New Roman" w:hAnsi="Times New Roman" w:eastAsia="仿宋_GB2312"/>
          <w:sz w:val="32"/>
          <w:szCs w:val="32"/>
        </w:rPr>
        <w:t>编制演习方案。由演习策划组确定演练目的、原则、规模、参演的部门；确定演练的性质和方法，选定演练事件与地点，规定演练的时间尺度和公众参与程度；确定实施计划、设计事故情景与处置方案。其中特别要注意的是，演练情景尽可能真实，并考虑应急设备故障问题，以检测备用系统。</w:t>
      </w:r>
    </w:p>
    <w:p w14:paraId="608A63A0">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③</w:t>
      </w:r>
      <w:r>
        <w:rPr>
          <w:rFonts w:ascii="Times New Roman" w:hAnsi="Times New Roman" w:eastAsia="仿宋_GB2312"/>
          <w:sz w:val="32"/>
          <w:szCs w:val="32"/>
        </w:rPr>
        <w:t>制定演习现场规则。演练现场规则是指确保演习安全而制定的对有关演练和演练控制、参与人员职责、实际紧急事件、法规符合性等事项的规定或要求。</w:t>
      </w:r>
    </w:p>
    <w:p w14:paraId="65F96BE2">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④</w:t>
      </w:r>
      <w:r>
        <w:rPr>
          <w:rFonts w:ascii="Times New Roman" w:hAnsi="Times New Roman" w:eastAsia="仿宋_GB2312"/>
          <w:sz w:val="32"/>
          <w:szCs w:val="32"/>
        </w:rPr>
        <w:t>培训评价人员。策划组应确定评价人员数量和应具备的专业技能，指定评价人员，分配各自所负责评价的应急组织和演习目标。</w:t>
      </w:r>
    </w:p>
    <w:p w14:paraId="5EA8F4DB">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（2）应急演习</w:t>
      </w:r>
    </w:p>
    <w:p w14:paraId="6E69E2D1">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应急演习实施阶段是指从宣布初始事件到演练结束的整个过程。演练过程中参演应急组织和人员应尽可能按照实际紧急事件发生时响应要求进行演示，由参演组织和人员根据自己关于最佳解决办法的理解，对事故作出响应行动。策划组的作用是宣布演习开始和结束，以及解决演习过程中的矛盾。</w:t>
      </w:r>
    </w:p>
    <w:p w14:paraId="5A3D8071">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（3）应急演习总结</w:t>
      </w:r>
    </w:p>
    <w:p w14:paraId="708EFE3D">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演习结束后，进行总结和讲评，以检验演习是否达到演习目标、应急准备水平及是否需要改进。策划组在演习结束期限内，根据在演习过程中收集和整理资料，编写演练报告。</w:t>
      </w:r>
    </w:p>
    <w:p w14:paraId="277A15FF">
      <w:pPr>
        <w:snapToGrid w:val="0"/>
        <w:spacing w:line="520" w:lineRule="exact"/>
        <w:ind w:firstLine="640" w:firstLineChars="200"/>
        <w:rPr>
          <w:rFonts w:ascii="Times New Roman" w:hAnsi="Times New Roman" w:eastAsia="仿宋_GB2312"/>
          <w:sz w:val="32"/>
          <w:szCs w:val="32"/>
        </w:rPr>
        <w:sectPr>
          <w:pgSz w:w="11906" w:h="16838"/>
          <w:pgMar w:top="2098" w:right="1474" w:bottom="1985" w:left="1588" w:header="851" w:footer="1588" w:gutter="0"/>
          <w:cols w:space="720" w:num="1"/>
          <w:docGrid w:linePitch="312" w:charSpace="0"/>
        </w:sectPr>
      </w:pPr>
      <w:r>
        <w:rPr>
          <w:rFonts w:ascii="Times New Roman" w:hAnsi="Times New Roman" w:eastAsia="仿宋_GB2312"/>
          <w:sz w:val="32"/>
          <w:szCs w:val="32"/>
        </w:rPr>
        <w:t>应急演习一般至少每年一次，且除定期进行全面的演习和训练外，还要针对通讯、消防、医疗、泄漏控制、监测、净化和清洁，以及人员疏散等关键要素进行演习。</w:t>
      </w:r>
    </w:p>
    <w:p w14:paraId="12DB7FB0">
      <w:pPr>
        <w:numPr>
          <w:ilvl w:val="0"/>
          <w:numId w:val="1"/>
        </w:numPr>
        <w:snapToGrid w:val="0"/>
        <w:spacing w:line="600" w:lineRule="exact"/>
        <w:ind w:left="0" w:firstLine="640" w:firstLineChars="200"/>
        <w:outlineLvl w:val="0"/>
        <w:rPr>
          <w:rFonts w:ascii="Times New Roman" w:hAnsi="Times New Roman" w:eastAsia="黑体"/>
          <w:sz w:val="32"/>
          <w:szCs w:val="32"/>
        </w:rPr>
      </w:pPr>
      <w:bookmarkStart w:id="365" w:name="_Toc58392471"/>
      <w:r>
        <w:rPr>
          <w:rFonts w:ascii="Times New Roman" w:hAnsi="Times New Roman" w:eastAsia="黑体"/>
          <w:sz w:val="32"/>
          <w:szCs w:val="32"/>
        </w:rPr>
        <w:t xml:space="preserve">  奖惩</w:t>
      </w:r>
      <w:bookmarkEnd w:id="365"/>
    </w:p>
    <w:p w14:paraId="7F0682C2">
      <w:pPr>
        <w:numPr>
          <w:ilvl w:val="1"/>
          <w:numId w:val="1"/>
        </w:numPr>
        <w:snapToGrid w:val="0"/>
        <w:spacing w:line="600" w:lineRule="exact"/>
        <w:ind w:left="0" w:firstLine="640" w:firstLineChars="200"/>
        <w:outlineLvl w:val="1"/>
        <w:rPr>
          <w:rFonts w:ascii="Times New Roman" w:hAnsi="Times New Roman" w:eastAsia="楷体_GB2312"/>
          <w:sz w:val="32"/>
          <w:szCs w:val="32"/>
        </w:rPr>
      </w:pPr>
      <w:bookmarkStart w:id="366" w:name="_Toc58392472"/>
      <w:r>
        <w:rPr>
          <w:rFonts w:ascii="Times New Roman" w:hAnsi="Times New Roman" w:eastAsia="楷体_GB2312"/>
          <w:sz w:val="32"/>
          <w:szCs w:val="32"/>
        </w:rPr>
        <w:t xml:space="preserve">  奖励</w:t>
      </w:r>
      <w:bookmarkEnd w:id="366"/>
    </w:p>
    <w:p w14:paraId="19910120">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在开发区突发环境事件应急救援工作中，有下列事迹之一的单位和个人，应依据有关规定给予奖励：</w:t>
      </w:r>
    </w:p>
    <w:p w14:paraId="6565CC98">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（1）出色完成突发环境事件应急处置任务，成绩显著的；</w:t>
      </w:r>
    </w:p>
    <w:p w14:paraId="4A599A8E">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（2）对防止或挽救突发环境事件有功，使国家、集体和人民群众的生命财产免受或者减少损失的；</w:t>
      </w:r>
    </w:p>
    <w:p w14:paraId="511EC2A2">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（3）对环境事件应急准备与响应提出重大建议，实施效果显著的；</w:t>
      </w:r>
    </w:p>
    <w:p w14:paraId="361E1B89">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（4）有其他特殊贡献的。</w:t>
      </w:r>
    </w:p>
    <w:p w14:paraId="5E230840">
      <w:pPr>
        <w:numPr>
          <w:ilvl w:val="1"/>
          <w:numId w:val="1"/>
        </w:numPr>
        <w:snapToGrid w:val="0"/>
        <w:spacing w:line="600" w:lineRule="exact"/>
        <w:ind w:left="0" w:firstLine="640" w:firstLineChars="200"/>
        <w:outlineLvl w:val="1"/>
        <w:rPr>
          <w:rFonts w:ascii="Times New Roman" w:hAnsi="Times New Roman" w:eastAsia="楷体_GB2312"/>
          <w:sz w:val="32"/>
          <w:szCs w:val="32"/>
        </w:rPr>
      </w:pPr>
      <w:bookmarkStart w:id="367" w:name="_Toc58392473"/>
      <w:r>
        <w:rPr>
          <w:rFonts w:ascii="Times New Roman" w:hAnsi="Times New Roman" w:eastAsia="楷体_GB2312"/>
          <w:sz w:val="32"/>
          <w:szCs w:val="32"/>
        </w:rPr>
        <w:t xml:space="preserve">  惩罚</w:t>
      </w:r>
      <w:bookmarkEnd w:id="367"/>
    </w:p>
    <w:p w14:paraId="22288406">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在开发区突发环境事件应急工作中，有下列行为之一的，按照有关法律和规定，对有关责任人员视情节和危害后果，由其所在单位或者上级机关给予行政处分；其中对国家公务员和国家行政机关任命的其他人员，分别由任免机关或者监察部门给予行政处分；构成犯罪的，由司法机关依法追究刑事责任。</w:t>
      </w:r>
    </w:p>
    <w:p w14:paraId="2C27F9BB">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（1）不认真履行环保法律、法规，而引发环境事件的；</w:t>
      </w:r>
    </w:p>
    <w:p w14:paraId="78BAA27D">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（2）不按照规定制定环境事件应急预案，拒绝承担突发环境事件应急准备义务的；</w:t>
      </w:r>
    </w:p>
    <w:p w14:paraId="1B89B9CA">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（3）不按规定报告、通报突发环境事件真实情况的；</w:t>
      </w:r>
    </w:p>
    <w:p w14:paraId="307842CE">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（4）拒不执行突发环境事件应急预案，不服从命令和指挥，或者在事件应急响应时临阵脱逃的；</w:t>
      </w:r>
    </w:p>
    <w:p w14:paraId="6B222889">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（5）盗窃、贪污、挪用环境事件应急工作资金、装备和物资的；</w:t>
      </w:r>
    </w:p>
    <w:p w14:paraId="21C814D8">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（6）阻碍突发环境事件应急工作人员依法执行职务或者进行破坏活动的</w:t>
      </w:r>
    </w:p>
    <w:p w14:paraId="44622566">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（7）散布谣言，扰乱社会秩序的；</w:t>
      </w:r>
    </w:p>
    <w:p w14:paraId="07CD17C0">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（8）有其他对突发环境事件应急工作造成危害行为的。</w:t>
      </w:r>
    </w:p>
    <w:p w14:paraId="4D6274AC">
      <w:pPr>
        <w:numPr>
          <w:ilvl w:val="0"/>
          <w:numId w:val="1"/>
        </w:numPr>
        <w:snapToGrid w:val="0"/>
        <w:spacing w:line="520" w:lineRule="exact"/>
        <w:ind w:left="0" w:firstLine="640" w:firstLineChars="200"/>
        <w:outlineLvl w:val="0"/>
        <w:rPr>
          <w:rFonts w:ascii="Times New Roman" w:hAnsi="Times New Roman" w:eastAsia="黑体"/>
          <w:sz w:val="32"/>
          <w:szCs w:val="32"/>
        </w:rPr>
      </w:pPr>
      <w:bookmarkStart w:id="368" w:name="_Toc58392474"/>
      <w:r>
        <w:rPr>
          <w:rFonts w:ascii="Times New Roman" w:hAnsi="Times New Roman" w:eastAsia="黑体"/>
          <w:sz w:val="32"/>
          <w:szCs w:val="32"/>
        </w:rPr>
        <w:t xml:space="preserve">  应急保障</w:t>
      </w:r>
      <w:bookmarkEnd w:id="368"/>
    </w:p>
    <w:p w14:paraId="1292373D">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69" w:name="_Toc58392475"/>
      <w:r>
        <w:rPr>
          <w:rFonts w:ascii="Times New Roman" w:hAnsi="Times New Roman" w:eastAsia="楷体_GB2312"/>
          <w:sz w:val="32"/>
          <w:szCs w:val="32"/>
        </w:rPr>
        <w:t xml:space="preserve">  经费及其他保障</w:t>
      </w:r>
      <w:bookmarkEnd w:id="369"/>
    </w:p>
    <w:p w14:paraId="39385C57">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连云港经济技术开发区管委会根据突发环境污染事故应急的需要，提出项目支出预算，由区财政局审定后，报市财政局审批。</w:t>
      </w:r>
    </w:p>
    <w:p w14:paraId="4AE4E588">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70" w:name="_Toc58392476"/>
      <w:r>
        <w:rPr>
          <w:rFonts w:ascii="Times New Roman" w:hAnsi="Times New Roman" w:eastAsia="楷体_GB2312"/>
          <w:sz w:val="32"/>
          <w:szCs w:val="32"/>
        </w:rPr>
        <w:t xml:space="preserve">  通信与信息保障</w:t>
      </w:r>
      <w:bookmarkEnd w:id="370"/>
    </w:p>
    <w:p w14:paraId="7925635A">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突发环境事件应急通讯系统包括事件报警、应急指挥、应急信息发布三部分。通过建立信息通信系统及维护方案，确保应急期间信息通畅。</w:t>
      </w:r>
    </w:p>
    <w:p w14:paraId="7E1A91BF">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（1）应急报警</w:t>
      </w:r>
    </w:p>
    <w:p w14:paraId="49F38A1A">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连云港市生态环境局应急报警电话为12369。</w:t>
      </w:r>
    </w:p>
    <w:p w14:paraId="517C9C96">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（2）应急指挥系统通讯</w:t>
      </w:r>
    </w:p>
    <w:p w14:paraId="0EB38215">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应急指挥系统由市生态环境局开发区分局的有线电话、手机和对讲机组成，采取有线通讯与无线通讯相结合的方式进行，应急通知的下达与接收，以有线通讯为主；与事发现场的应急人员联络，以无线通讯为主。</w:t>
      </w:r>
    </w:p>
    <w:p w14:paraId="238ABF58">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（3）信息发布系统</w:t>
      </w:r>
    </w:p>
    <w:p w14:paraId="3D83594C">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信息发布系统由广播、电视及通信车辆组成，公众信息由区新闻办请示上级批准后，由授权指定的新闻发言人统一发布，其它任何单位和个人不得发布应急信息或接受媒体采访。</w:t>
      </w:r>
    </w:p>
    <w:p w14:paraId="4FD88351">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71" w:name="_Toc58392477"/>
      <w:r>
        <w:rPr>
          <w:rFonts w:ascii="Times New Roman" w:hAnsi="Times New Roman" w:eastAsia="楷体_GB2312"/>
          <w:sz w:val="32"/>
          <w:szCs w:val="32"/>
        </w:rPr>
        <w:t xml:space="preserve">  应急队伍保障</w:t>
      </w:r>
      <w:bookmarkEnd w:id="371"/>
    </w:p>
    <w:p w14:paraId="46E8099E">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由开发区管委会组织建立一支突发环境污染事故应急救援专业队伍，并通过培训演练提高其应急突发事故的素质和能力；对开发区内的各个企业的消防、安全等应急队伍进行组织和培训，保证在突发事故发生后，能迅速参与并完成抢救、排险、消毒、监测等现场处置工作。具体内容如下：</w:t>
      </w:r>
    </w:p>
    <w:p w14:paraId="09C6446D">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（1）开发区管委会落实应急救援组织，成立应急指挥领导组，本着便于领导、便于集结和开展救援的原则，建立组织，落实人员，要根据人员变化及时进行调整，确保救援组织的落实；</w:t>
      </w:r>
    </w:p>
    <w:p w14:paraId="21CCF2F5">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（2）各应急队伍要按照任务分工做好应急物资器材的准备，指定专人保管，并定期检查保养，使其处于良好的状态；</w:t>
      </w:r>
    </w:p>
    <w:p w14:paraId="026519C2">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（3）定期组织应急培训和训练，提高应急救援能力。</w:t>
      </w:r>
    </w:p>
    <w:p w14:paraId="4EEFE902">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72" w:name="_Toc58392478"/>
      <w:r>
        <w:rPr>
          <w:rFonts w:ascii="Times New Roman" w:hAnsi="Times New Roman" w:eastAsia="楷体_GB2312"/>
          <w:sz w:val="32"/>
          <w:szCs w:val="32"/>
        </w:rPr>
        <w:t xml:space="preserve">  应急物资装备保障</w:t>
      </w:r>
      <w:bookmarkEnd w:id="372"/>
    </w:p>
    <w:p w14:paraId="0EB9664A">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发区管委会负责指导、协调应急救援的建设工作，建立完善共享的特种救援装备数据库和调用制度，保证应急状态时调用。开发区责成相关企业在危险目标和生产岗位配置消防器材、防毒面具和防化服等应急器材。此外，开发区必须建设应急物质储备库并购置相应的应急救援物质。</w:t>
      </w:r>
    </w:p>
    <w:p w14:paraId="182D9F58">
      <w:pPr>
        <w:snapToGrid w:val="0"/>
        <w:spacing w:line="520" w:lineRule="exact"/>
        <w:ind w:firstLine="640" w:firstLineChars="200"/>
        <w:rPr>
          <w:rFonts w:ascii="Times New Roman" w:hAnsi="Times New Roman" w:eastAsia="仿宋_GB2312"/>
          <w:sz w:val="32"/>
          <w:szCs w:val="32"/>
        </w:rPr>
        <w:sectPr>
          <w:pgSz w:w="11906" w:h="16838"/>
          <w:pgMar w:top="2098" w:right="1474" w:bottom="1985" w:left="1588" w:header="851" w:footer="1588" w:gutter="0"/>
          <w:cols w:space="720" w:num="1"/>
          <w:docGrid w:linePitch="312" w:charSpace="0"/>
        </w:sectPr>
      </w:pPr>
      <w:r>
        <w:rPr>
          <w:rFonts w:ascii="Times New Roman" w:hAnsi="Times New Roman" w:eastAsia="仿宋_GB2312"/>
          <w:sz w:val="32"/>
          <w:szCs w:val="32"/>
        </w:rPr>
        <w:t>开发区各个企业要按照相关规定要求安装消防栓、灭火器等消防设施，具有一定的消防实力。</w:t>
      </w:r>
    </w:p>
    <w:p w14:paraId="152E220B">
      <w:pPr>
        <w:numPr>
          <w:ilvl w:val="0"/>
          <w:numId w:val="1"/>
        </w:numPr>
        <w:snapToGrid w:val="0"/>
        <w:spacing w:line="600" w:lineRule="exact"/>
        <w:ind w:left="0" w:firstLine="640" w:firstLineChars="200"/>
        <w:outlineLvl w:val="0"/>
        <w:rPr>
          <w:rFonts w:ascii="Times New Roman" w:hAnsi="Times New Roman" w:eastAsia="黑体"/>
          <w:sz w:val="32"/>
          <w:szCs w:val="32"/>
        </w:rPr>
      </w:pPr>
      <w:bookmarkStart w:id="373" w:name="_Toc428890259"/>
      <w:bookmarkEnd w:id="373"/>
      <w:bookmarkStart w:id="374" w:name="_Toc428890303"/>
      <w:bookmarkEnd w:id="374"/>
      <w:bookmarkStart w:id="375" w:name="_Toc428890257"/>
      <w:bookmarkEnd w:id="375"/>
      <w:bookmarkStart w:id="376" w:name="_Toc428890256"/>
      <w:bookmarkEnd w:id="376"/>
      <w:bookmarkStart w:id="377" w:name="_Toc428890266"/>
      <w:bookmarkEnd w:id="377"/>
      <w:bookmarkStart w:id="378" w:name="_Toc428890255"/>
      <w:bookmarkEnd w:id="378"/>
      <w:bookmarkStart w:id="379" w:name="_Toc428890260"/>
      <w:bookmarkEnd w:id="379"/>
      <w:bookmarkStart w:id="380" w:name="_Toc428890275"/>
      <w:bookmarkEnd w:id="380"/>
      <w:bookmarkStart w:id="381" w:name="_Toc428890267"/>
      <w:bookmarkEnd w:id="381"/>
      <w:bookmarkStart w:id="382" w:name="_Toc428890263"/>
      <w:bookmarkEnd w:id="382"/>
      <w:bookmarkStart w:id="383" w:name="_Toc428890261"/>
      <w:bookmarkEnd w:id="383"/>
      <w:bookmarkStart w:id="384" w:name="_Toc428890286"/>
      <w:bookmarkEnd w:id="384"/>
      <w:bookmarkStart w:id="385" w:name="_Toc428890262"/>
      <w:bookmarkEnd w:id="385"/>
      <w:bookmarkStart w:id="386" w:name="_Toc428890276"/>
      <w:bookmarkEnd w:id="386"/>
      <w:bookmarkStart w:id="387" w:name="_Toc428890265"/>
      <w:bookmarkEnd w:id="387"/>
      <w:bookmarkStart w:id="388" w:name="_Toc428890270"/>
      <w:bookmarkEnd w:id="388"/>
      <w:bookmarkStart w:id="389" w:name="_Toc428890254"/>
      <w:bookmarkEnd w:id="389"/>
      <w:bookmarkStart w:id="390" w:name="_Toc428890253"/>
      <w:bookmarkEnd w:id="390"/>
      <w:bookmarkStart w:id="391" w:name="_Toc428890280"/>
      <w:bookmarkEnd w:id="391"/>
      <w:bookmarkStart w:id="392" w:name="_Toc428890284"/>
      <w:bookmarkEnd w:id="392"/>
      <w:bookmarkStart w:id="393" w:name="_Toc428890273"/>
      <w:bookmarkEnd w:id="393"/>
      <w:bookmarkStart w:id="394" w:name="_Toc428890269"/>
      <w:bookmarkEnd w:id="394"/>
      <w:bookmarkStart w:id="395" w:name="_Toc428890272"/>
      <w:bookmarkEnd w:id="395"/>
      <w:bookmarkStart w:id="396" w:name="_Toc428890293"/>
      <w:bookmarkEnd w:id="396"/>
      <w:bookmarkStart w:id="397" w:name="_Toc428890252"/>
      <w:bookmarkEnd w:id="397"/>
      <w:bookmarkStart w:id="398" w:name="_Toc428890264"/>
      <w:bookmarkEnd w:id="398"/>
      <w:bookmarkStart w:id="399" w:name="_Toc428890298"/>
      <w:bookmarkEnd w:id="399"/>
      <w:bookmarkStart w:id="400" w:name="_Toc428890258"/>
      <w:bookmarkEnd w:id="400"/>
      <w:bookmarkStart w:id="401" w:name="_Toc428890277"/>
      <w:bookmarkEnd w:id="401"/>
      <w:bookmarkStart w:id="402" w:name="_Toc428890316"/>
      <w:bookmarkEnd w:id="402"/>
      <w:bookmarkStart w:id="403" w:name="_Toc428890300"/>
      <w:bookmarkEnd w:id="403"/>
      <w:bookmarkStart w:id="404" w:name="_Toc428890312"/>
      <w:bookmarkEnd w:id="404"/>
      <w:bookmarkStart w:id="405" w:name="_Toc428890289"/>
      <w:bookmarkEnd w:id="405"/>
      <w:bookmarkStart w:id="406" w:name="_Toc428890291"/>
      <w:bookmarkEnd w:id="406"/>
      <w:bookmarkStart w:id="407" w:name="_Toc428890281"/>
      <w:bookmarkEnd w:id="407"/>
      <w:bookmarkStart w:id="408" w:name="_Toc428890302"/>
      <w:bookmarkEnd w:id="408"/>
      <w:bookmarkStart w:id="409" w:name="_Toc428890288"/>
      <w:bookmarkEnd w:id="409"/>
      <w:bookmarkStart w:id="410" w:name="_Toc428890315"/>
      <w:bookmarkEnd w:id="410"/>
      <w:bookmarkStart w:id="411" w:name="_Toc428890306"/>
      <w:bookmarkEnd w:id="411"/>
      <w:bookmarkStart w:id="412" w:name="_Toc428890282"/>
      <w:bookmarkEnd w:id="412"/>
      <w:bookmarkStart w:id="413" w:name="_Toc428890294"/>
      <w:bookmarkEnd w:id="413"/>
      <w:bookmarkStart w:id="414" w:name="_Toc428890299"/>
      <w:bookmarkEnd w:id="414"/>
      <w:bookmarkStart w:id="415" w:name="_Toc428890290"/>
      <w:bookmarkEnd w:id="415"/>
      <w:bookmarkStart w:id="416" w:name="_Toc428890278"/>
      <w:bookmarkEnd w:id="416"/>
      <w:bookmarkStart w:id="417" w:name="_Toc428890295"/>
      <w:bookmarkEnd w:id="417"/>
      <w:bookmarkStart w:id="418" w:name="_Toc428890296"/>
      <w:bookmarkEnd w:id="418"/>
      <w:bookmarkStart w:id="419" w:name="_Toc428890314"/>
      <w:bookmarkEnd w:id="419"/>
      <w:bookmarkStart w:id="420" w:name="_Toc428890271"/>
      <w:bookmarkEnd w:id="420"/>
      <w:bookmarkStart w:id="421" w:name="_Toc428890287"/>
      <w:bookmarkEnd w:id="421"/>
      <w:bookmarkStart w:id="422" w:name="_Toc428890283"/>
      <w:bookmarkEnd w:id="422"/>
      <w:bookmarkStart w:id="423" w:name="_Toc428890319"/>
      <w:bookmarkEnd w:id="423"/>
      <w:bookmarkStart w:id="424" w:name="_Toc428890301"/>
      <w:bookmarkEnd w:id="424"/>
      <w:bookmarkStart w:id="425" w:name="_Toc428890279"/>
      <w:bookmarkEnd w:id="425"/>
      <w:bookmarkStart w:id="426" w:name="_Toc428890297"/>
      <w:bookmarkEnd w:id="426"/>
      <w:bookmarkStart w:id="427" w:name="_Toc428890268"/>
      <w:bookmarkEnd w:id="427"/>
      <w:bookmarkStart w:id="428" w:name="_Toc428890318"/>
      <w:bookmarkEnd w:id="428"/>
      <w:bookmarkStart w:id="429" w:name="_Toc428890313"/>
      <w:bookmarkEnd w:id="429"/>
      <w:bookmarkStart w:id="430" w:name="_Toc428890285"/>
      <w:bookmarkEnd w:id="430"/>
      <w:bookmarkStart w:id="431" w:name="_Toc428890307"/>
      <w:bookmarkEnd w:id="431"/>
      <w:bookmarkStart w:id="432" w:name="_Toc428890274"/>
      <w:bookmarkEnd w:id="432"/>
      <w:bookmarkStart w:id="433" w:name="_Toc428890292"/>
      <w:bookmarkEnd w:id="433"/>
      <w:bookmarkStart w:id="434" w:name="_Toc428890310"/>
      <w:bookmarkEnd w:id="434"/>
      <w:bookmarkStart w:id="435" w:name="_Toc428890309"/>
      <w:bookmarkEnd w:id="435"/>
      <w:bookmarkStart w:id="436" w:name="_Toc428890304"/>
      <w:bookmarkEnd w:id="436"/>
      <w:bookmarkStart w:id="437" w:name="_Toc428890305"/>
      <w:bookmarkEnd w:id="437"/>
      <w:bookmarkStart w:id="438" w:name="_Toc428890311"/>
      <w:bookmarkEnd w:id="438"/>
      <w:bookmarkStart w:id="439" w:name="_Toc428890317"/>
      <w:bookmarkEnd w:id="439"/>
      <w:bookmarkStart w:id="440" w:name="_Toc428890308"/>
      <w:bookmarkEnd w:id="440"/>
      <w:bookmarkStart w:id="441" w:name="_Toc428890320"/>
      <w:bookmarkEnd w:id="441"/>
      <w:bookmarkStart w:id="442" w:name="_Toc186202243"/>
      <w:bookmarkStart w:id="443" w:name="_Toc58392479"/>
      <w:bookmarkStart w:id="444" w:name="_Toc415756928"/>
      <w:bookmarkStart w:id="445" w:name="_Toc186202147"/>
      <w:bookmarkStart w:id="446" w:name="_Toc213579010"/>
      <w:r>
        <w:rPr>
          <w:rFonts w:ascii="Times New Roman" w:hAnsi="Times New Roman" w:eastAsia="黑体"/>
          <w:sz w:val="32"/>
          <w:szCs w:val="32"/>
        </w:rPr>
        <w:t xml:space="preserve">  预案的评审、备案、发布和更新</w:t>
      </w:r>
      <w:bookmarkEnd w:id="442"/>
      <w:bookmarkEnd w:id="443"/>
      <w:bookmarkEnd w:id="444"/>
      <w:bookmarkEnd w:id="445"/>
      <w:bookmarkEnd w:id="446"/>
    </w:p>
    <w:p w14:paraId="11C2B74D">
      <w:pPr>
        <w:numPr>
          <w:ilvl w:val="1"/>
          <w:numId w:val="1"/>
        </w:numPr>
        <w:snapToGrid w:val="0"/>
        <w:spacing w:line="600" w:lineRule="exact"/>
        <w:ind w:left="0" w:firstLine="640" w:firstLineChars="200"/>
        <w:outlineLvl w:val="1"/>
        <w:rPr>
          <w:rFonts w:ascii="Times New Roman" w:hAnsi="Times New Roman" w:eastAsia="楷体_GB2312"/>
          <w:sz w:val="32"/>
          <w:szCs w:val="32"/>
        </w:rPr>
      </w:pPr>
      <w:bookmarkStart w:id="447" w:name="_Toc428890330"/>
      <w:bookmarkEnd w:id="447"/>
      <w:bookmarkStart w:id="448" w:name="_Toc428890332"/>
      <w:bookmarkEnd w:id="448"/>
      <w:bookmarkStart w:id="449" w:name="_Toc428890324"/>
      <w:bookmarkEnd w:id="449"/>
      <w:bookmarkStart w:id="450" w:name="_Toc428890323"/>
      <w:bookmarkEnd w:id="450"/>
      <w:bookmarkStart w:id="451" w:name="_Toc428890327"/>
      <w:bookmarkEnd w:id="451"/>
      <w:bookmarkStart w:id="452" w:name="_Toc428890322"/>
      <w:bookmarkEnd w:id="452"/>
      <w:bookmarkStart w:id="453" w:name="_Toc428890326"/>
      <w:bookmarkEnd w:id="453"/>
      <w:bookmarkStart w:id="454" w:name="_Toc428890325"/>
      <w:bookmarkEnd w:id="454"/>
      <w:bookmarkStart w:id="455" w:name="_Toc428890331"/>
      <w:bookmarkEnd w:id="455"/>
      <w:bookmarkStart w:id="456" w:name="_Toc428890328"/>
      <w:bookmarkEnd w:id="456"/>
      <w:bookmarkStart w:id="457" w:name="_Toc428890333"/>
      <w:bookmarkEnd w:id="457"/>
      <w:bookmarkStart w:id="458" w:name="_Toc428890329"/>
      <w:bookmarkEnd w:id="458"/>
      <w:bookmarkStart w:id="459" w:name="_Toc58392480"/>
      <w:bookmarkStart w:id="460" w:name="_Toc406766388"/>
      <w:bookmarkStart w:id="461" w:name="_Toc399143821"/>
      <w:bookmarkStart w:id="462" w:name="_Toc424825909"/>
      <w:bookmarkStart w:id="463" w:name="_Toc424717044"/>
      <w:bookmarkStart w:id="464" w:name="_Toc409970875"/>
      <w:bookmarkStart w:id="465" w:name="_Toc405285721"/>
      <w:r>
        <w:rPr>
          <w:rFonts w:ascii="Times New Roman" w:hAnsi="Times New Roman" w:eastAsia="楷体_GB2312"/>
          <w:sz w:val="32"/>
          <w:szCs w:val="32"/>
        </w:rPr>
        <w:t xml:space="preserve">  预案管理</w:t>
      </w:r>
      <w:bookmarkEnd w:id="459"/>
    </w:p>
    <w:p w14:paraId="66269AFD">
      <w:pPr>
        <w:numPr>
          <w:ilvl w:val="2"/>
          <w:numId w:val="1"/>
        </w:numPr>
        <w:snapToGrid w:val="0"/>
        <w:spacing w:line="60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预案评审</w:t>
      </w:r>
      <w:bookmarkEnd w:id="460"/>
      <w:bookmarkEnd w:id="461"/>
      <w:bookmarkEnd w:id="462"/>
      <w:bookmarkEnd w:id="463"/>
      <w:bookmarkEnd w:id="464"/>
      <w:bookmarkEnd w:id="465"/>
    </w:p>
    <w:p w14:paraId="63235279">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应急预案评审由开发区管委会组织，邀请当地政府、生态环境部门、应急管理部门等相关部门，并邀请相关行业专家及应急专家，以考量本预案的适应性、可行性及可操作性。</w:t>
      </w:r>
    </w:p>
    <w:p w14:paraId="65CBE2BC">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开发区管委会应根据演练结果及其他信息，每年组织一次评审，以确保预案的持续适宜性，评审时间和评审方式视具体情况而定。</w:t>
      </w:r>
    </w:p>
    <w:p w14:paraId="427928C7">
      <w:pPr>
        <w:numPr>
          <w:ilvl w:val="2"/>
          <w:numId w:val="1"/>
        </w:numPr>
        <w:snapToGrid w:val="0"/>
        <w:spacing w:line="600" w:lineRule="exact"/>
        <w:ind w:left="0" w:firstLine="640" w:firstLineChars="200"/>
        <w:outlineLvl w:val="2"/>
        <w:rPr>
          <w:rFonts w:ascii="Times New Roman" w:hAnsi="Times New Roman" w:eastAsia="仿宋_GB2312"/>
          <w:kern w:val="0"/>
          <w:sz w:val="32"/>
          <w:szCs w:val="32"/>
        </w:rPr>
      </w:pPr>
      <w:bookmarkStart w:id="466" w:name="_Toc406766389"/>
      <w:bookmarkStart w:id="467" w:name="_Toc405285722"/>
      <w:bookmarkStart w:id="468" w:name="_Toc409970876"/>
      <w:bookmarkStart w:id="469" w:name="_Toc424717045"/>
      <w:bookmarkStart w:id="470" w:name="_Toc424825910"/>
      <w:bookmarkStart w:id="471" w:name="_Toc399143822"/>
      <w:r>
        <w:rPr>
          <w:rFonts w:ascii="Times New Roman" w:hAnsi="Times New Roman" w:eastAsia="仿宋_GB2312"/>
          <w:kern w:val="0"/>
          <w:sz w:val="32"/>
          <w:szCs w:val="32"/>
        </w:rPr>
        <w:t xml:space="preserve">  预案备案</w:t>
      </w:r>
      <w:bookmarkEnd w:id="466"/>
      <w:bookmarkEnd w:id="467"/>
      <w:bookmarkEnd w:id="468"/>
      <w:bookmarkEnd w:id="469"/>
      <w:bookmarkEnd w:id="470"/>
      <w:bookmarkEnd w:id="471"/>
    </w:p>
    <w:p w14:paraId="5E228CC4">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开发区管委会应将最新版本应急预案报连云港市生态环境局备案。</w:t>
      </w:r>
    </w:p>
    <w:p w14:paraId="0B63BC34">
      <w:pPr>
        <w:numPr>
          <w:ilvl w:val="1"/>
          <w:numId w:val="1"/>
        </w:numPr>
        <w:snapToGrid w:val="0"/>
        <w:spacing w:line="600" w:lineRule="exact"/>
        <w:ind w:left="0" w:firstLine="640" w:firstLineChars="200"/>
        <w:outlineLvl w:val="1"/>
        <w:rPr>
          <w:rFonts w:ascii="Times New Roman" w:hAnsi="Times New Roman" w:eastAsia="楷体_GB2312"/>
          <w:sz w:val="32"/>
          <w:szCs w:val="32"/>
        </w:rPr>
      </w:pPr>
      <w:bookmarkStart w:id="472" w:name="_Toc58392481"/>
      <w:bookmarkStart w:id="473" w:name="_Toc424717046"/>
      <w:bookmarkStart w:id="474" w:name="_Toc424825911"/>
      <w:bookmarkStart w:id="475" w:name="_Toc405285723"/>
      <w:bookmarkStart w:id="476" w:name="_Toc409970877"/>
      <w:bookmarkStart w:id="477" w:name="_Toc406766390"/>
      <w:bookmarkStart w:id="478" w:name="_Toc399143823"/>
      <w:r>
        <w:rPr>
          <w:rFonts w:ascii="Times New Roman" w:hAnsi="Times New Roman" w:eastAsia="楷体_GB2312"/>
          <w:sz w:val="32"/>
          <w:szCs w:val="32"/>
        </w:rPr>
        <w:t xml:space="preserve">  预案的发布与发放</w:t>
      </w:r>
      <w:bookmarkEnd w:id="472"/>
      <w:bookmarkEnd w:id="473"/>
      <w:bookmarkEnd w:id="474"/>
      <w:bookmarkEnd w:id="475"/>
      <w:bookmarkEnd w:id="476"/>
      <w:bookmarkEnd w:id="477"/>
      <w:bookmarkEnd w:id="478"/>
    </w:p>
    <w:p w14:paraId="38C0DA64">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开发区应急预案经组织评审后，由开发区管委会常务副主任签署发布。</w:t>
      </w:r>
    </w:p>
    <w:p w14:paraId="73C4A94B">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市生态环境局开发区分局负责对应急预案的统一管理，负责预案的管理发放，发放应建立发放记录，并及时对已发放预案进行更新，确保各部门获得最新版本的应急预案；应发放给应急小组成员和各部门、岗位主要负责人。</w:t>
      </w:r>
    </w:p>
    <w:p w14:paraId="47E22C38">
      <w:pPr>
        <w:numPr>
          <w:ilvl w:val="1"/>
          <w:numId w:val="1"/>
        </w:numPr>
        <w:snapToGrid w:val="0"/>
        <w:spacing w:line="600" w:lineRule="exact"/>
        <w:ind w:left="0" w:firstLine="640" w:firstLineChars="200"/>
        <w:outlineLvl w:val="1"/>
        <w:rPr>
          <w:rFonts w:ascii="Times New Roman" w:hAnsi="Times New Roman" w:eastAsia="楷体_GB2312"/>
          <w:sz w:val="32"/>
          <w:szCs w:val="32"/>
        </w:rPr>
      </w:pPr>
      <w:bookmarkStart w:id="479" w:name="_Toc424717047"/>
      <w:bookmarkStart w:id="480" w:name="_Toc405285724"/>
      <w:bookmarkStart w:id="481" w:name="_Toc399143824"/>
      <w:bookmarkStart w:id="482" w:name="_Toc409970878"/>
      <w:bookmarkStart w:id="483" w:name="_Toc424825912"/>
      <w:bookmarkStart w:id="484" w:name="_Toc58392482"/>
      <w:bookmarkStart w:id="485" w:name="_Toc406766391"/>
      <w:r>
        <w:rPr>
          <w:rFonts w:ascii="Times New Roman" w:hAnsi="Times New Roman" w:eastAsia="楷体_GB2312"/>
          <w:sz w:val="32"/>
          <w:szCs w:val="32"/>
        </w:rPr>
        <w:t xml:space="preserve">  预案的管理与更新</w:t>
      </w:r>
      <w:bookmarkEnd w:id="479"/>
      <w:bookmarkEnd w:id="480"/>
      <w:bookmarkEnd w:id="481"/>
      <w:bookmarkEnd w:id="482"/>
      <w:bookmarkEnd w:id="483"/>
      <w:bookmarkEnd w:id="484"/>
      <w:bookmarkEnd w:id="485"/>
    </w:p>
    <w:p w14:paraId="5C49174C">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随着应急救援相关法律法规的制定、修改和完善，部门职责或应急资源发生变化，以及实施过程中发现存在问题或出现新的情况，应及时修订完善本预案。</w:t>
      </w:r>
    </w:p>
    <w:p w14:paraId="77815920">
      <w:pPr>
        <w:numPr>
          <w:ilvl w:val="1"/>
          <w:numId w:val="1"/>
        </w:numPr>
        <w:snapToGrid w:val="0"/>
        <w:spacing w:line="600" w:lineRule="exact"/>
        <w:ind w:left="0" w:firstLine="640" w:firstLineChars="200"/>
        <w:outlineLvl w:val="1"/>
        <w:rPr>
          <w:rFonts w:ascii="Times New Roman" w:hAnsi="Times New Roman" w:eastAsia="楷体_GB2312"/>
          <w:sz w:val="32"/>
          <w:szCs w:val="32"/>
        </w:rPr>
      </w:pPr>
      <w:bookmarkStart w:id="486" w:name="_Toc409970879"/>
      <w:bookmarkStart w:id="487" w:name="_Toc424717048"/>
      <w:bookmarkStart w:id="488" w:name="_Toc406766392"/>
      <w:bookmarkStart w:id="489" w:name="_Toc399143825"/>
      <w:bookmarkStart w:id="490" w:name="_Toc405285725"/>
      <w:bookmarkStart w:id="491" w:name="_Toc424825913"/>
      <w:bookmarkStart w:id="492" w:name="_Toc58392483"/>
      <w:r>
        <w:rPr>
          <w:rFonts w:ascii="Times New Roman" w:hAnsi="Times New Roman" w:eastAsia="楷体_GB2312"/>
          <w:sz w:val="32"/>
          <w:szCs w:val="32"/>
        </w:rPr>
        <w:t xml:space="preserve">  预案的解释部门</w:t>
      </w:r>
      <w:bookmarkEnd w:id="486"/>
      <w:bookmarkEnd w:id="487"/>
      <w:bookmarkEnd w:id="488"/>
      <w:bookmarkEnd w:id="489"/>
      <w:bookmarkEnd w:id="490"/>
      <w:bookmarkEnd w:id="491"/>
      <w:bookmarkEnd w:id="492"/>
    </w:p>
    <w:p w14:paraId="70F3EFFE">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本预案由连云港经济技术开发区管委会负责解释。</w:t>
      </w:r>
    </w:p>
    <w:p w14:paraId="6147774E">
      <w:pPr>
        <w:numPr>
          <w:ilvl w:val="1"/>
          <w:numId w:val="1"/>
        </w:numPr>
        <w:snapToGrid w:val="0"/>
        <w:spacing w:line="600" w:lineRule="exact"/>
        <w:ind w:left="0" w:firstLine="640" w:firstLineChars="200"/>
        <w:outlineLvl w:val="1"/>
        <w:rPr>
          <w:rFonts w:ascii="Times New Roman" w:hAnsi="Times New Roman" w:eastAsia="楷体_GB2312"/>
          <w:sz w:val="32"/>
          <w:szCs w:val="32"/>
        </w:rPr>
      </w:pPr>
      <w:bookmarkStart w:id="493" w:name="_Toc424825914"/>
      <w:bookmarkStart w:id="494" w:name="_Toc423854491"/>
      <w:bookmarkStart w:id="495" w:name="_Toc58392484"/>
      <w:bookmarkStart w:id="496" w:name="_Toc424717049"/>
      <w:r>
        <w:rPr>
          <w:rFonts w:ascii="Times New Roman" w:hAnsi="Times New Roman" w:eastAsia="楷体_GB2312"/>
          <w:sz w:val="32"/>
          <w:szCs w:val="32"/>
        </w:rPr>
        <w:t xml:space="preserve">  预案的实施和生效时间</w:t>
      </w:r>
      <w:bookmarkEnd w:id="493"/>
      <w:bookmarkEnd w:id="494"/>
      <w:bookmarkEnd w:id="495"/>
      <w:bookmarkEnd w:id="496"/>
    </w:p>
    <w:p w14:paraId="6010FC65">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本预案自印发之日起实施，由市生态环境局开发区分局负责解释。</w:t>
      </w:r>
      <w:bookmarkStart w:id="497" w:name="_Toc428890343"/>
      <w:bookmarkEnd w:id="497"/>
      <w:bookmarkStart w:id="498" w:name="_Toc428890342"/>
      <w:bookmarkEnd w:id="498"/>
      <w:bookmarkStart w:id="499" w:name="_Toc428890341"/>
      <w:bookmarkEnd w:id="499"/>
      <w:bookmarkStart w:id="500" w:name="_Toc428890344"/>
      <w:bookmarkEnd w:id="500"/>
      <w:bookmarkStart w:id="501" w:name="_Toc428890345"/>
      <w:bookmarkEnd w:id="501"/>
      <w:bookmarkStart w:id="502" w:name="_Toc428890340"/>
      <w:bookmarkEnd w:id="502"/>
    </w:p>
    <w:p w14:paraId="4897FA59">
      <w:pPr>
        <w:pStyle w:val="2"/>
        <w:ind w:firstLine="480"/>
        <w:rPr>
          <w:rFonts w:cs="Times New Roman"/>
        </w:rPr>
      </w:pPr>
    </w:p>
    <w:p w14:paraId="4DCFAC99">
      <w:pPr>
        <w:spacing w:line="240" w:lineRule="exact"/>
        <w:rPr>
          <w:rFonts w:ascii="Times New Roman" w:hAnsi="Times New Roman" w:eastAsia="仿宋_GB2312"/>
          <w:sz w:val="32"/>
          <w:szCs w:val="32"/>
        </w:rPr>
      </w:pPr>
    </w:p>
    <w:p w14:paraId="1549DF2D">
      <w:pPr>
        <w:spacing w:line="240" w:lineRule="exact"/>
        <w:rPr>
          <w:rFonts w:ascii="Times New Roman" w:hAnsi="Times New Roman" w:eastAsia="仿宋_GB2312"/>
          <w:sz w:val="32"/>
          <w:szCs w:val="32"/>
        </w:rPr>
      </w:pPr>
    </w:p>
    <w:p w14:paraId="7BDF3919">
      <w:pPr>
        <w:pStyle w:val="2"/>
        <w:ind w:firstLine="480"/>
        <w:rPr>
          <w:rFonts w:cs="Times New Roman"/>
        </w:rPr>
      </w:pPr>
    </w:p>
    <w:p w14:paraId="07E1A6D1">
      <w:pPr>
        <w:pStyle w:val="2"/>
        <w:ind w:firstLine="480"/>
        <w:rPr>
          <w:rFonts w:cs="Times New Roman"/>
        </w:rPr>
      </w:pPr>
    </w:p>
    <w:p w14:paraId="309E8216">
      <w:pPr>
        <w:pStyle w:val="2"/>
        <w:ind w:firstLine="480"/>
        <w:rPr>
          <w:rFonts w:cs="Times New Roman"/>
        </w:rPr>
      </w:pPr>
    </w:p>
    <w:p w14:paraId="1EA7ED2F">
      <w:pPr>
        <w:pStyle w:val="2"/>
        <w:ind w:firstLine="480"/>
        <w:rPr>
          <w:rFonts w:cs="Times New Roman"/>
        </w:rPr>
      </w:pPr>
    </w:p>
    <w:p w14:paraId="033F06F4">
      <w:pPr>
        <w:pStyle w:val="2"/>
        <w:ind w:firstLine="480"/>
        <w:rPr>
          <w:rFonts w:cs="Times New Roman"/>
        </w:rPr>
      </w:pPr>
    </w:p>
    <w:p w14:paraId="547A5176">
      <w:pPr>
        <w:pStyle w:val="2"/>
        <w:ind w:firstLine="480"/>
        <w:rPr>
          <w:rFonts w:cs="Times New Roman"/>
        </w:rPr>
      </w:pPr>
    </w:p>
    <w:p w14:paraId="4E6072CF">
      <w:pPr>
        <w:pStyle w:val="2"/>
        <w:ind w:firstLine="480"/>
        <w:rPr>
          <w:rFonts w:cs="Times New Roman"/>
        </w:rPr>
      </w:pPr>
    </w:p>
    <w:p w14:paraId="00068D66">
      <w:pPr>
        <w:pStyle w:val="2"/>
        <w:ind w:firstLine="480"/>
        <w:rPr>
          <w:rFonts w:cs="Times New Roman"/>
        </w:rPr>
        <w:sectPr>
          <w:pgSz w:w="11906" w:h="16838"/>
          <w:pgMar w:top="2098" w:right="1474" w:bottom="1985" w:left="1588" w:header="851" w:footer="1588" w:gutter="0"/>
          <w:cols w:space="425" w:num="1"/>
          <w:docGrid w:linePitch="312" w:charSpace="0"/>
        </w:sectPr>
      </w:pPr>
    </w:p>
    <w:p w14:paraId="68237EC6">
      <w:pPr>
        <w:pStyle w:val="2"/>
        <w:ind w:firstLine="480"/>
        <w:rPr>
          <w:rFonts w:cs="Times New Roman"/>
        </w:rPr>
      </w:pPr>
    </w:p>
    <w:p w14:paraId="1ED808E1">
      <w:pPr>
        <w:pStyle w:val="2"/>
        <w:ind w:firstLine="480"/>
        <w:rPr>
          <w:rFonts w:cs="Times New Roman"/>
        </w:rPr>
      </w:pPr>
    </w:p>
    <w:p w14:paraId="15F33BEC">
      <w:pPr>
        <w:pStyle w:val="2"/>
        <w:ind w:firstLine="480"/>
        <w:rPr>
          <w:rFonts w:cs="Times New Roman"/>
        </w:rPr>
      </w:pPr>
    </w:p>
    <w:p w14:paraId="627ED5A5">
      <w:pPr>
        <w:pStyle w:val="2"/>
        <w:ind w:firstLine="480"/>
        <w:rPr>
          <w:rFonts w:cs="Times New Roman"/>
        </w:rPr>
      </w:pPr>
    </w:p>
    <w:p w14:paraId="0F49F2FB">
      <w:pPr>
        <w:pStyle w:val="2"/>
        <w:ind w:firstLine="480"/>
        <w:rPr>
          <w:rFonts w:cs="Times New Roman"/>
        </w:rPr>
      </w:pPr>
    </w:p>
    <w:p w14:paraId="174E8D8A">
      <w:pPr>
        <w:pStyle w:val="2"/>
        <w:ind w:firstLine="480"/>
        <w:rPr>
          <w:rFonts w:cs="Times New Roman"/>
        </w:rPr>
      </w:pPr>
    </w:p>
    <w:p w14:paraId="0B124ACB">
      <w:pPr>
        <w:pStyle w:val="2"/>
        <w:ind w:firstLine="480"/>
        <w:rPr>
          <w:rFonts w:cs="Times New Roman"/>
        </w:rPr>
      </w:pPr>
    </w:p>
    <w:p w14:paraId="4E9B2F01">
      <w:pPr>
        <w:pStyle w:val="2"/>
        <w:ind w:firstLine="480"/>
        <w:rPr>
          <w:rFonts w:cs="Times New Roman"/>
        </w:rPr>
      </w:pPr>
    </w:p>
    <w:p w14:paraId="6AA89526">
      <w:pPr>
        <w:pStyle w:val="2"/>
        <w:ind w:firstLine="480"/>
        <w:rPr>
          <w:rFonts w:cs="Times New Roman"/>
        </w:rPr>
      </w:pPr>
    </w:p>
    <w:p w14:paraId="0C68A30C">
      <w:pPr>
        <w:pStyle w:val="2"/>
        <w:ind w:firstLine="480"/>
        <w:rPr>
          <w:rFonts w:cs="Times New Roman"/>
        </w:rPr>
      </w:pPr>
    </w:p>
    <w:p w14:paraId="50823A71">
      <w:pPr>
        <w:pStyle w:val="2"/>
        <w:ind w:firstLine="480"/>
        <w:rPr>
          <w:rFonts w:cs="Times New Roman"/>
        </w:rPr>
      </w:pPr>
    </w:p>
    <w:p w14:paraId="3D154ED7">
      <w:pPr>
        <w:pStyle w:val="2"/>
        <w:ind w:firstLine="480"/>
        <w:rPr>
          <w:rFonts w:cs="Times New Roman"/>
        </w:rPr>
      </w:pPr>
    </w:p>
    <w:p w14:paraId="4508C05C">
      <w:pPr>
        <w:pStyle w:val="2"/>
        <w:ind w:firstLine="480"/>
        <w:rPr>
          <w:rFonts w:cs="Times New Roman"/>
        </w:rPr>
      </w:pPr>
    </w:p>
    <w:p w14:paraId="44FE0F0E">
      <w:pPr>
        <w:pStyle w:val="2"/>
        <w:ind w:firstLine="480"/>
        <w:rPr>
          <w:rFonts w:cs="Times New Roman"/>
        </w:rPr>
      </w:pPr>
    </w:p>
    <w:p w14:paraId="1D8E2A1B">
      <w:pPr>
        <w:pStyle w:val="2"/>
        <w:ind w:firstLine="480"/>
        <w:rPr>
          <w:rFonts w:cs="Times New Roman"/>
        </w:rPr>
      </w:pPr>
    </w:p>
    <w:p w14:paraId="69B9BB8A">
      <w:pPr>
        <w:pStyle w:val="2"/>
        <w:ind w:firstLine="480"/>
        <w:rPr>
          <w:rFonts w:cs="Times New Roman"/>
        </w:rPr>
      </w:pPr>
    </w:p>
    <w:p w14:paraId="5DB023E0">
      <w:pPr>
        <w:pStyle w:val="2"/>
        <w:ind w:firstLine="480"/>
        <w:rPr>
          <w:rFonts w:cs="Times New Roman"/>
        </w:rPr>
      </w:pPr>
    </w:p>
    <w:p w14:paraId="75C7DAFA">
      <w:pPr>
        <w:pStyle w:val="2"/>
        <w:ind w:firstLine="480"/>
        <w:rPr>
          <w:rFonts w:cs="Times New Roman"/>
        </w:rPr>
      </w:pPr>
    </w:p>
    <w:p w14:paraId="64CBB86E">
      <w:pPr>
        <w:pStyle w:val="2"/>
        <w:ind w:firstLine="480"/>
        <w:rPr>
          <w:rFonts w:cs="Times New Roman"/>
        </w:rPr>
      </w:pPr>
    </w:p>
    <w:p w14:paraId="7DF43473">
      <w:pPr>
        <w:pStyle w:val="2"/>
        <w:ind w:firstLine="480"/>
        <w:rPr>
          <w:rFonts w:cs="Times New Roman"/>
        </w:rPr>
      </w:pPr>
    </w:p>
    <w:p w14:paraId="770B9A3E">
      <w:pPr>
        <w:pStyle w:val="2"/>
        <w:ind w:firstLine="480"/>
        <w:rPr>
          <w:rFonts w:cs="Times New Roman"/>
        </w:rPr>
      </w:pPr>
    </w:p>
    <w:p w14:paraId="08165067">
      <w:pPr>
        <w:pStyle w:val="2"/>
        <w:ind w:firstLine="480"/>
        <w:rPr>
          <w:rFonts w:cs="Times New Roman"/>
        </w:rPr>
      </w:pPr>
    </w:p>
    <w:p w14:paraId="6CDFB5AA">
      <w:pPr>
        <w:pStyle w:val="2"/>
        <w:ind w:firstLine="480"/>
        <w:rPr>
          <w:rFonts w:cs="Times New Roman"/>
        </w:rPr>
      </w:pPr>
    </w:p>
    <w:p w14:paraId="4B45E354">
      <w:pPr>
        <w:pStyle w:val="2"/>
        <w:ind w:firstLine="480"/>
        <w:rPr>
          <w:rFonts w:cs="Times New Roman"/>
        </w:rPr>
      </w:pPr>
    </w:p>
    <w:p w14:paraId="1211CB7D">
      <w:pPr>
        <w:pStyle w:val="2"/>
        <w:ind w:firstLine="480"/>
        <w:rPr>
          <w:rFonts w:cs="Times New Roman"/>
        </w:rPr>
      </w:pPr>
    </w:p>
    <w:p w14:paraId="5458A08D">
      <w:pPr>
        <w:pStyle w:val="2"/>
        <w:ind w:firstLine="480"/>
        <w:rPr>
          <w:rFonts w:cs="Times New Roman"/>
        </w:rPr>
      </w:pPr>
    </w:p>
    <w:p w14:paraId="7F205C3C">
      <w:pPr>
        <w:spacing w:line="20" w:lineRule="exact"/>
        <w:rPr>
          <w:rFonts w:ascii="Times New Roman" w:hAnsi="Times New Roman" w:eastAsia="仿宋_GB2312"/>
          <w:sz w:val="32"/>
          <w:szCs w:val="32"/>
        </w:rPr>
      </w:pPr>
    </w:p>
    <w:p w14:paraId="279AF8DE">
      <w:pPr>
        <w:pStyle w:val="2"/>
        <w:ind w:firstLine="480"/>
        <w:rPr>
          <w:rFonts w:cs="Times New Roman"/>
        </w:rPr>
      </w:pPr>
    </w:p>
    <w:sectPr>
      <w:footerReference r:id="rId23" w:type="even"/>
      <w:pgSz w:w="11906" w:h="16838"/>
      <w:pgMar w:top="2098" w:right="1474" w:bottom="1985" w:left="1588" w:header="851" w:footer="1588"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冼极">
    <w:altName w:val="MingLiU-ExtB"/>
    <w:panose1 w:val="00000000000000000000"/>
    <w:charset w:val="88"/>
    <w:family w:val="roma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方正小标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8415000"/>
      <w:docPartObj>
        <w:docPartGallery w:val="autotext"/>
      </w:docPartObj>
    </w:sdtPr>
    <w:sdtEndPr>
      <w:rPr>
        <w:rFonts w:asciiTheme="majorEastAsia" w:hAnsiTheme="majorEastAsia" w:eastAsiaTheme="majorEastAsia"/>
        <w:sz w:val="28"/>
        <w:szCs w:val="28"/>
      </w:rPr>
    </w:sdtEndPr>
    <w:sdtContent>
      <w:p w14:paraId="093A5936">
        <w:pPr>
          <w:pStyle w:val="15"/>
          <w:jc w:val="right"/>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1</w:t>
        </w:r>
        <w:r>
          <w:rPr>
            <w:rFonts w:asciiTheme="majorEastAsia" w:hAnsiTheme="majorEastAsia" w:eastAsiaTheme="majorEastAsia"/>
            <w:sz w:val="28"/>
            <w:szCs w:val="28"/>
          </w:rPr>
          <w:fldChar w:fldCharType="end"/>
        </w:r>
        <w:r>
          <w:rPr>
            <w:rFonts w:hint="eastAsia" w:asciiTheme="majorEastAsia" w:hAnsiTheme="majorEastAsia" w:eastAsiaTheme="majorEastAsia"/>
            <w:sz w:val="28"/>
            <w:szCs w:val="28"/>
          </w:rPr>
          <w:t xml:space="preserve"> —</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954FC">
    <w:pPr>
      <w:tabs>
        <w:tab w:val="center" w:pos="4153"/>
        <w:tab w:val="right" w:pos="8306"/>
      </w:tabs>
      <w:wordWrap w:val="0"/>
      <w:snapToGrid w:val="0"/>
      <w:jc w:val="right"/>
      <w:rPr>
        <w:rFonts w:ascii="Times New Roman" w:hAnsi="Times New Roman" w:eastAsia="宋体"/>
        <w:sz w:val="28"/>
        <w:szCs w:val="28"/>
      </w:rPr>
    </w:pPr>
    <w:r>
      <w:rPr>
        <w:sz w:val="28"/>
      </w:rPr>
      <mc:AlternateContent>
        <mc:Choice Requires="wps">
          <w:drawing>
            <wp:anchor distT="0" distB="0" distL="114300" distR="114300" simplePos="0" relativeHeight="251697152" behindDoc="0" locked="0" layoutInCell="1" allowOverlap="1">
              <wp:simplePos x="0" y="0"/>
              <wp:positionH relativeFrom="margin">
                <wp:posOffset>5000625</wp:posOffset>
              </wp:positionH>
              <wp:positionV relativeFrom="paragraph">
                <wp:posOffset>149225</wp:posOffset>
              </wp:positionV>
              <wp:extent cx="1828800" cy="1828800"/>
              <wp:effectExtent l="0" t="0" r="0" b="0"/>
              <wp:wrapNone/>
              <wp:docPr id="560" name="文本框 5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88F1EFF">
                          <w:pPr>
                            <w:tabs>
                              <w:tab w:val="center" w:pos="4153"/>
                              <w:tab w:val="right" w:pos="8306"/>
                            </w:tabs>
                            <w:wordWrap w:val="0"/>
                            <w:snapToGrid w:val="0"/>
                            <w:jc w:val="right"/>
                          </w:pPr>
                          <w:r>
                            <w:rPr>
                              <w:rFonts w:hint="eastAsia" w:ascii="Times New Roman" w:hAnsi="Times New Roman" w:eastAsia="宋体"/>
                              <w:sz w:val="28"/>
                              <w:szCs w:val="28"/>
                            </w:rPr>
                            <w:t xml:space="preserve">— </w:t>
                          </w:r>
                          <w:r>
                            <w:rPr>
                              <w:rFonts w:ascii="Times New Roman" w:hAnsi="Times New Roman" w:eastAsia="宋体"/>
                              <w:sz w:val="28"/>
                              <w:szCs w:val="28"/>
                            </w:rPr>
                            <w:fldChar w:fldCharType="begin"/>
                          </w:r>
                          <w:r>
                            <w:rPr>
                              <w:rFonts w:ascii="Times New Roman" w:hAnsi="Times New Roman" w:eastAsia="宋体"/>
                              <w:sz w:val="28"/>
                              <w:szCs w:val="28"/>
                            </w:rPr>
                            <w:instrText xml:space="preserve">PAGE   \* MERGEFORMAT</w:instrText>
                          </w:r>
                          <w:r>
                            <w:rPr>
                              <w:rFonts w:ascii="Times New Roman" w:hAnsi="Times New Roman" w:eastAsia="宋体"/>
                              <w:sz w:val="28"/>
                              <w:szCs w:val="28"/>
                            </w:rPr>
                            <w:fldChar w:fldCharType="separate"/>
                          </w:r>
                          <w:r>
                            <w:rPr>
                              <w:rFonts w:ascii="Times New Roman" w:hAnsi="Times New Roman" w:eastAsia="宋体"/>
                              <w:sz w:val="28"/>
                              <w:szCs w:val="28"/>
                              <w:lang w:val="zh-CN"/>
                            </w:rPr>
                            <w:t>147</w:t>
                          </w:r>
                          <w:r>
                            <w:rPr>
                              <w:rFonts w:ascii="Times New Roman" w:hAnsi="Times New Roman" w:eastAsia="宋体"/>
                              <w:sz w:val="28"/>
                              <w:szCs w:val="28"/>
                            </w:rPr>
                            <w:fldChar w:fldCharType="end"/>
                          </w:r>
                          <w:r>
                            <w:rPr>
                              <w:rFonts w:hint="eastAsia" w:ascii="Times New Roman" w:hAnsi="Times New Roman" w:eastAsia="宋体"/>
                              <w:sz w:val="28"/>
                              <w:szCs w:val="28"/>
                            </w:rPr>
                            <w:t xml:space="preserve"> —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93.75pt;margin-top:11.75pt;height:144pt;width:144pt;mso-position-horizontal-relative:margin;mso-wrap-style:none;z-index:251697152;mso-width-relative:page;mso-height-relative:page;" filled="f" stroked="f" coordsize="21600,21600" o:gfxdata="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iZFlNgAAAALAQAADwAAAAAAAAABACAAAAAiAAAAZHJzL2Rv&#10;d25yZXYueG1sUEsBAhQAFAAAAAgAh07iQB6a4TU6AgAAcwQAAA4AAAAAAAAAAQAgAAAAJwEAAGRy&#10;cy9lMm9Eb2MueG1sUEsFBgAAAAAGAAYAWQEAANMFAAAAAA==&#10;">
              <v:fill on="f" focussize="0,0"/>
              <v:stroke on="f" weight="0.5pt"/>
              <v:imagedata o:title=""/>
              <o:lock v:ext="edit" aspectratio="f"/>
              <v:textbox inset="0mm,0mm,0mm,0mm" style="mso-fit-shape-to-text:t;">
                <w:txbxContent>
                  <w:p w14:paraId="188F1EFF">
                    <w:pPr>
                      <w:tabs>
                        <w:tab w:val="center" w:pos="4153"/>
                        <w:tab w:val="right" w:pos="8306"/>
                      </w:tabs>
                      <w:wordWrap w:val="0"/>
                      <w:snapToGrid w:val="0"/>
                      <w:jc w:val="right"/>
                    </w:pPr>
                    <w:r>
                      <w:rPr>
                        <w:rFonts w:hint="eastAsia" w:ascii="Times New Roman" w:hAnsi="Times New Roman" w:eastAsia="宋体"/>
                        <w:sz w:val="28"/>
                        <w:szCs w:val="28"/>
                      </w:rPr>
                      <w:t xml:space="preserve">— </w:t>
                    </w:r>
                    <w:r>
                      <w:rPr>
                        <w:rFonts w:ascii="Times New Roman" w:hAnsi="Times New Roman" w:eastAsia="宋体"/>
                        <w:sz w:val="28"/>
                        <w:szCs w:val="28"/>
                      </w:rPr>
                      <w:fldChar w:fldCharType="begin"/>
                    </w:r>
                    <w:r>
                      <w:rPr>
                        <w:rFonts w:ascii="Times New Roman" w:hAnsi="Times New Roman" w:eastAsia="宋体"/>
                        <w:sz w:val="28"/>
                        <w:szCs w:val="28"/>
                      </w:rPr>
                      <w:instrText xml:space="preserve">PAGE   \* MERGEFORMAT</w:instrText>
                    </w:r>
                    <w:r>
                      <w:rPr>
                        <w:rFonts w:ascii="Times New Roman" w:hAnsi="Times New Roman" w:eastAsia="宋体"/>
                        <w:sz w:val="28"/>
                        <w:szCs w:val="28"/>
                      </w:rPr>
                      <w:fldChar w:fldCharType="separate"/>
                    </w:r>
                    <w:r>
                      <w:rPr>
                        <w:rFonts w:ascii="Times New Roman" w:hAnsi="Times New Roman" w:eastAsia="宋体"/>
                        <w:sz w:val="28"/>
                        <w:szCs w:val="28"/>
                        <w:lang w:val="zh-CN"/>
                      </w:rPr>
                      <w:t>147</w:t>
                    </w:r>
                    <w:r>
                      <w:rPr>
                        <w:rFonts w:ascii="Times New Roman" w:hAnsi="Times New Roman" w:eastAsia="宋体"/>
                        <w:sz w:val="28"/>
                        <w:szCs w:val="28"/>
                      </w:rPr>
                      <w:fldChar w:fldCharType="end"/>
                    </w:r>
                    <w:r>
                      <w:rPr>
                        <w:rFonts w:hint="eastAsia" w:ascii="Times New Roman" w:hAnsi="Times New Roman" w:eastAsia="宋体"/>
                        <w:sz w:val="28"/>
                        <w:szCs w:val="28"/>
                      </w:rPr>
                      <w:t xml:space="preserve"> —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0F766">
    <w:pPr>
      <w:tabs>
        <w:tab w:val="center" w:pos="4153"/>
        <w:tab w:val="right" w:pos="8306"/>
      </w:tabs>
      <w:snapToGrid w:val="0"/>
      <w:jc w:val="left"/>
      <w:rPr>
        <w:rFonts w:ascii="Times New Roman" w:hAnsi="Times New Roman" w:eastAsia="宋体"/>
        <w:sz w:val="28"/>
        <w:szCs w:val="28"/>
      </w:rPr>
    </w:pPr>
    <w:r>
      <w:rPr>
        <w:rFonts w:ascii="Times New Roman" w:hAnsi="Times New Roman" w:eastAsia="宋体"/>
        <w:sz w:val="28"/>
        <w:szCs w:val="28"/>
      </w:rPr>
      <w:t>—</w:t>
    </w:r>
    <w:r>
      <w:rPr>
        <w:rFonts w:hint="eastAsia" w:ascii="Times New Roman" w:hAnsi="Times New Roman" w:eastAsia="宋体"/>
        <w:sz w:val="28"/>
        <w:szCs w:val="28"/>
      </w:rPr>
      <w:t xml:space="preserve"> </w:t>
    </w:r>
    <w:r>
      <w:rPr>
        <w:rFonts w:ascii="Times New Roman" w:hAnsi="Times New Roman" w:eastAsia="宋体"/>
        <w:sz w:val="28"/>
        <w:szCs w:val="28"/>
      </w:rPr>
      <w:fldChar w:fldCharType="begin"/>
    </w:r>
    <w:r>
      <w:rPr>
        <w:rFonts w:ascii="Times New Roman" w:hAnsi="Times New Roman" w:eastAsia="宋体"/>
        <w:sz w:val="28"/>
        <w:szCs w:val="28"/>
      </w:rPr>
      <w:instrText xml:space="preserve">PAGE   \* MERGEFORMAT</w:instrText>
    </w:r>
    <w:r>
      <w:rPr>
        <w:rFonts w:ascii="Times New Roman" w:hAnsi="Times New Roman" w:eastAsia="宋体"/>
        <w:sz w:val="28"/>
        <w:szCs w:val="28"/>
      </w:rPr>
      <w:fldChar w:fldCharType="separate"/>
    </w:r>
    <w:r>
      <w:rPr>
        <w:rFonts w:ascii="Times New Roman" w:hAnsi="Times New Roman" w:eastAsia="宋体"/>
        <w:sz w:val="28"/>
        <w:szCs w:val="28"/>
        <w:lang w:val="zh-CN"/>
      </w:rPr>
      <w:t>254</w:t>
    </w:r>
    <w:r>
      <w:rPr>
        <w:rFonts w:ascii="Times New Roman" w:hAnsi="Times New Roman" w:eastAsia="宋体"/>
        <w:sz w:val="28"/>
        <w:szCs w:val="28"/>
      </w:rPr>
      <w:fldChar w:fldCharType="end"/>
    </w:r>
    <w:r>
      <w:rPr>
        <w:rFonts w:hint="eastAsia" w:ascii="Times New Roman" w:hAnsi="Times New Roman" w:eastAsia="宋体"/>
        <w:sz w:val="28"/>
        <w:szCs w:val="28"/>
      </w:rPr>
      <w:t xml:space="preserve"> </w:t>
    </w:r>
    <w:r>
      <w:rPr>
        <w:rFonts w:ascii="Times New Roman" w:hAnsi="Times New Roman" w:eastAsia="宋体"/>
        <w:sz w:val="28"/>
        <w:szCs w:val="2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7570914"/>
      <w:docPartObj>
        <w:docPartGallery w:val="autotext"/>
      </w:docPartObj>
    </w:sdtPr>
    <w:sdtEndPr>
      <w:rPr>
        <w:rFonts w:asciiTheme="minorEastAsia" w:hAnsiTheme="minorEastAsia" w:eastAsiaTheme="minorEastAsia"/>
        <w:sz w:val="28"/>
        <w:szCs w:val="28"/>
      </w:rPr>
    </w:sdtEndPr>
    <w:sdtContent>
      <w:p w14:paraId="05F09A79">
        <w:pPr>
          <w:pStyle w:val="15"/>
          <w:jc w:val="righ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191</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 xml:space="preserve"> —</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249067"/>
      <w:docPartObj>
        <w:docPartGallery w:val="autotext"/>
      </w:docPartObj>
    </w:sdtPr>
    <w:sdtEndPr>
      <w:rPr>
        <w:rFonts w:asciiTheme="majorEastAsia" w:hAnsiTheme="majorEastAsia" w:eastAsiaTheme="majorEastAsia"/>
        <w:sz w:val="28"/>
        <w:szCs w:val="28"/>
      </w:rPr>
    </w:sdtEndPr>
    <w:sdtContent>
      <w:p w14:paraId="455243A1">
        <w:pPr>
          <w:pStyle w:val="15"/>
          <w:jc w:val="right"/>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195</w:t>
        </w:r>
        <w:r>
          <w:rPr>
            <w:rFonts w:asciiTheme="majorEastAsia" w:hAnsiTheme="majorEastAsia" w:eastAsiaTheme="majorEastAsia"/>
            <w:sz w:val="28"/>
            <w:szCs w:val="28"/>
          </w:rPr>
          <w:fldChar w:fldCharType="end"/>
        </w:r>
        <w:r>
          <w:rPr>
            <w:rFonts w:hint="eastAsia" w:asciiTheme="majorEastAsia" w:hAnsiTheme="majorEastAsia" w:eastAsiaTheme="majorEastAsia"/>
            <w:sz w:val="28"/>
            <w:szCs w:val="28"/>
          </w:rPr>
          <w:t xml:space="preserve"> —</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05547">
    <w:pPr>
      <w:pStyle w:val="15"/>
      <w:wordWrap w:val="0"/>
      <w:jc w:val="right"/>
      <w:rPr>
        <w:rFonts w:asciiTheme="majorEastAsia" w:hAnsiTheme="majorEastAsia" w:eastAsiaTheme="majorEastAsia"/>
        <w:sz w:val="28"/>
        <w:szCs w:val="28"/>
      </w:rPr>
    </w:pPr>
    <w:sdt>
      <w:sdtPr>
        <w:id w:val="-1465570468"/>
        <w:docPartObj>
          <w:docPartGallery w:val="autotext"/>
        </w:docPartObj>
      </w:sdtPr>
      <w:sdtEndPr>
        <w:rPr>
          <w:rFonts w:asciiTheme="majorEastAsia" w:hAnsiTheme="majorEastAsia" w:eastAsiaTheme="majorEastAsia"/>
          <w:sz w:val="28"/>
          <w:szCs w:val="28"/>
        </w:rPr>
      </w:sdtEndPr>
      <w:sdtContent>
        <w:r>
          <w:rPr>
            <w:rFonts w:hint="eastAsia" w:asciiTheme="majorEastAsia" w:hAnsiTheme="majorEastAsia" w:eastAsiaTheme="maj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255</w:t>
        </w:r>
        <w:r>
          <w:rPr>
            <w:rFonts w:asciiTheme="majorEastAsia" w:hAnsiTheme="majorEastAsia" w:eastAsiaTheme="majorEastAsia"/>
            <w:sz w:val="28"/>
            <w:szCs w:val="28"/>
          </w:rPr>
          <w:fldChar w:fldCharType="end"/>
        </w:r>
      </w:sdtContent>
    </w:sdt>
    <w:r>
      <w:rPr>
        <w:rFonts w:hint="eastAsia" w:asciiTheme="majorEastAsia" w:hAnsiTheme="majorEastAsia" w:eastAsiaTheme="majorEastAsia"/>
        <w:sz w:val="28"/>
        <w:szCs w:val="2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B5D95">
    <w:pPr>
      <w:tabs>
        <w:tab w:val="center" w:pos="4153"/>
        <w:tab w:val="right" w:pos="8306"/>
      </w:tabs>
      <w:snapToGrid w:val="0"/>
      <w:jc w:val="left"/>
      <w:rPr>
        <w:rFonts w:ascii="Times New Roman" w:hAnsi="Times New Roman" w:eastAsia="宋体"/>
        <w:color w:val="FFFFFF" w:themeColor="background1"/>
        <w:sz w:val="28"/>
        <w:szCs w:val="28"/>
        <w14:textFill>
          <w14:solidFill>
            <w14:schemeClr w14:val="bg1"/>
          </w14:solidFill>
        </w14:textFill>
      </w:rPr>
    </w:pPr>
    <w:r>
      <w:rPr>
        <w:rFonts w:ascii="Times New Roman" w:hAnsi="Times New Roman" w:eastAsia="宋体"/>
        <w:color w:val="FFFFFF" w:themeColor="background1"/>
        <w:sz w:val="28"/>
        <w:szCs w:val="28"/>
        <w14:textFill>
          <w14:solidFill>
            <w14:schemeClr w14:val="bg1"/>
          </w14:solidFill>
        </w14:textFill>
      </w:rPr>
      <w:t>—</w:t>
    </w:r>
    <w:r>
      <w:rPr>
        <w:rFonts w:hint="eastAsia" w:ascii="Times New Roman" w:hAnsi="Times New Roman" w:eastAsia="宋体"/>
        <w:color w:val="FFFFFF" w:themeColor="background1"/>
        <w:sz w:val="28"/>
        <w:szCs w:val="28"/>
        <w14:textFill>
          <w14:solidFill>
            <w14:schemeClr w14:val="bg1"/>
          </w14:solidFill>
        </w14:textFill>
      </w:rPr>
      <w:t xml:space="preserve"> </w:t>
    </w:r>
    <w:r>
      <w:rPr>
        <w:rFonts w:ascii="Times New Roman" w:hAnsi="Times New Roman" w:eastAsia="宋体"/>
        <w:color w:val="FFFFFF" w:themeColor="background1"/>
        <w:sz w:val="28"/>
        <w:szCs w:val="28"/>
        <w14:textFill>
          <w14:solidFill>
            <w14:schemeClr w14:val="bg1"/>
          </w14:solidFill>
        </w14:textFill>
      </w:rPr>
      <w:fldChar w:fldCharType="begin"/>
    </w:r>
    <w:r>
      <w:rPr>
        <w:rFonts w:ascii="Times New Roman" w:hAnsi="Times New Roman" w:eastAsia="宋体"/>
        <w:color w:val="FFFFFF" w:themeColor="background1"/>
        <w:sz w:val="28"/>
        <w:szCs w:val="28"/>
        <w14:textFill>
          <w14:solidFill>
            <w14:schemeClr w14:val="bg1"/>
          </w14:solidFill>
        </w14:textFill>
      </w:rPr>
      <w:instrText xml:space="preserve">PAGE   \* MERGEFORMAT</w:instrText>
    </w:r>
    <w:r>
      <w:rPr>
        <w:rFonts w:ascii="Times New Roman" w:hAnsi="Times New Roman" w:eastAsia="宋体"/>
        <w:color w:val="FFFFFF" w:themeColor="background1"/>
        <w:sz w:val="28"/>
        <w:szCs w:val="28"/>
        <w14:textFill>
          <w14:solidFill>
            <w14:schemeClr w14:val="bg1"/>
          </w14:solidFill>
        </w14:textFill>
      </w:rPr>
      <w:fldChar w:fldCharType="separate"/>
    </w:r>
    <w:r>
      <w:rPr>
        <w:rFonts w:ascii="Times New Roman" w:hAnsi="Times New Roman" w:eastAsia="宋体"/>
        <w:color w:val="FFFFFF" w:themeColor="background1"/>
        <w:sz w:val="28"/>
        <w:szCs w:val="28"/>
        <w:lang w:val="zh-CN"/>
        <w14:textFill>
          <w14:solidFill>
            <w14:schemeClr w14:val="bg1"/>
          </w14:solidFill>
        </w14:textFill>
      </w:rPr>
      <w:t>256</w:t>
    </w:r>
    <w:r>
      <w:rPr>
        <w:rFonts w:ascii="Times New Roman" w:hAnsi="Times New Roman" w:eastAsia="宋体"/>
        <w:color w:val="FFFFFF" w:themeColor="background1"/>
        <w:sz w:val="28"/>
        <w:szCs w:val="28"/>
        <w14:textFill>
          <w14:solidFill>
            <w14:schemeClr w14:val="bg1"/>
          </w14:solidFill>
        </w14:textFill>
      </w:rPr>
      <w:fldChar w:fldCharType="end"/>
    </w:r>
    <w:r>
      <w:rPr>
        <w:rFonts w:hint="eastAsia" w:ascii="Times New Roman" w:hAnsi="Times New Roman" w:eastAsia="宋体"/>
        <w:color w:val="FFFFFF" w:themeColor="background1"/>
        <w:sz w:val="28"/>
        <w:szCs w:val="28"/>
        <w14:textFill>
          <w14:solidFill>
            <w14:schemeClr w14:val="bg1"/>
          </w14:solidFill>
        </w14:textFill>
      </w:rPr>
      <w:t xml:space="preserve"> </w:t>
    </w:r>
    <w:r>
      <w:rPr>
        <w:rFonts w:ascii="Times New Roman" w:hAnsi="Times New Roman" w:eastAsia="宋体"/>
        <w:color w:val="FFFFFF" w:themeColor="background1"/>
        <w:sz w:val="28"/>
        <w:szCs w:val="28"/>
        <w14:textFill>
          <w14:solidFill>
            <w14:schemeClr w14:val="bg1"/>
          </w14:solidFill>
        </w14:textFill>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3095388"/>
      <w:docPartObj>
        <w:docPartGallery w:val="autotext"/>
      </w:docPartObj>
    </w:sdtPr>
    <w:sdtEndPr>
      <w:rPr>
        <w:rFonts w:asciiTheme="minorEastAsia" w:hAnsiTheme="minorEastAsia" w:eastAsiaTheme="minorEastAsia"/>
        <w:sz w:val="28"/>
        <w:szCs w:val="28"/>
      </w:rPr>
    </w:sdtEndPr>
    <w:sdtContent>
      <w:p w14:paraId="67C31A4A">
        <w:pPr>
          <w:pStyle w:val="15"/>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2</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F459D">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ajorEastAsia" w:hAnsiTheme="majorEastAsia" w:eastAsiaTheme="majorEastAsia"/>
        <w:sz w:val="28"/>
        <w:szCs w:val="28"/>
      </w:rPr>
      <w:id w:val="-1781247073"/>
      <w:docPartObj>
        <w:docPartGallery w:val="autotext"/>
      </w:docPartObj>
    </w:sdtPr>
    <w:sdtEndPr>
      <w:rPr>
        <w:rFonts w:asciiTheme="majorEastAsia" w:hAnsiTheme="majorEastAsia" w:eastAsiaTheme="majorEastAsia"/>
        <w:sz w:val="28"/>
        <w:szCs w:val="28"/>
      </w:rPr>
    </w:sdtEndPr>
    <w:sdtContent>
      <w:p w14:paraId="2FD17DBA">
        <w:pPr>
          <w:pStyle w:val="15"/>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86</w:t>
        </w:r>
        <w:r>
          <w:rPr>
            <w:rFonts w:asciiTheme="majorEastAsia" w:hAnsiTheme="majorEastAsia" w:eastAsiaTheme="majorEastAsia"/>
            <w:sz w:val="28"/>
            <w:szCs w:val="28"/>
          </w:rPr>
          <w:fldChar w:fldCharType="end"/>
        </w:r>
        <w:r>
          <w:rPr>
            <w:rFonts w:hint="eastAsia" w:asciiTheme="majorEastAsia" w:hAnsiTheme="majorEastAsia" w:eastAsiaTheme="majorEastAsia"/>
            <w:sz w:val="28"/>
            <w:szCs w:val="28"/>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72339424"/>
      <w:docPartObj>
        <w:docPartGallery w:val="autotext"/>
      </w:docPartObj>
    </w:sdtPr>
    <w:sdtEndPr>
      <w:rPr>
        <w:rFonts w:asciiTheme="majorEastAsia" w:hAnsiTheme="majorEastAsia" w:eastAsiaTheme="majorEastAsia"/>
        <w:sz w:val="28"/>
        <w:szCs w:val="28"/>
      </w:rPr>
    </w:sdtEndPr>
    <w:sdtContent>
      <w:p w14:paraId="0EB20928">
        <w:pPr>
          <w:pStyle w:val="15"/>
          <w:jc w:val="right"/>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79</w:t>
        </w:r>
        <w:r>
          <w:rPr>
            <w:rFonts w:asciiTheme="majorEastAsia" w:hAnsiTheme="majorEastAsia" w:eastAsiaTheme="majorEastAsia"/>
            <w:sz w:val="28"/>
            <w:szCs w:val="28"/>
          </w:rPr>
          <w:fldChar w:fldCharType="end"/>
        </w:r>
        <w:r>
          <w:rPr>
            <w:rFonts w:hint="eastAsia" w:asciiTheme="majorEastAsia" w:hAnsiTheme="majorEastAsia" w:eastAsiaTheme="majorEastAsia"/>
            <w:sz w:val="28"/>
            <w:szCs w:val="28"/>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72A25">
    <w:pPr>
      <w:snapToGrid w:val="0"/>
      <w:ind w:right="360" w:firstLine="561"/>
      <w:jc w:val="left"/>
      <w:rPr>
        <w:rFonts w:ascii="Times New Roman" w:hAnsi="Times New Roman" w:eastAsia="宋体"/>
        <w:sz w:val="28"/>
        <w:szCs w:val="28"/>
      </w:rPr>
    </w:pPr>
    <w:r>
      <w:rPr>
        <w:rFonts w:ascii="Times New Roman" w:hAnsi="Times New Roman" w:eastAsia="宋体"/>
        <w:sz w:val="28"/>
        <w:szCs w:val="18"/>
      </w:rPr>
      <mc:AlternateContent>
        <mc:Choice Requires="wps">
          <w:drawing>
            <wp:anchor distT="0" distB="0" distL="114300" distR="114300" simplePos="0" relativeHeight="251696128" behindDoc="0" locked="0" layoutInCell="1" allowOverlap="1">
              <wp:simplePos x="0" y="0"/>
              <wp:positionH relativeFrom="margin">
                <wp:align>inside</wp:align>
              </wp:positionH>
              <wp:positionV relativeFrom="paragraph">
                <wp:posOffset>0</wp:posOffset>
              </wp:positionV>
              <wp:extent cx="1828800" cy="1828800"/>
              <wp:effectExtent l="0" t="0" r="0" b="0"/>
              <wp:wrapNone/>
              <wp:docPr id="546" name="文本框 5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BAF4D39">
                          <w:pPr>
                            <w:snapToGrid w:val="0"/>
                            <w:jc w:val="left"/>
                            <w:rPr>
                              <w:rFonts w:ascii="Times New Roman" w:hAnsi="Times New Roman" w:eastAsia="宋体"/>
                              <w:sz w:val="18"/>
                              <w:szCs w:val="18"/>
                            </w:rPr>
                          </w:pPr>
                          <w:r>
                            <w:rPr>
                              <w:rFonts w:hint="eastAsia" w:ascii="Times New Roman" w:hAnsi="Times New Roman" w:eastAsia="宋体"/>
                              <w:sz w:val="28"/>
                              <w:szCs w:val="28"/>
                            </w:rPr>
                            <w:fldChar w:fldCharType="begin"/>
                          </w:r>
                          <w:r>
                            <w:rPr>
                              <w:rFonts w:hint="eastAsia" w:ascii="Times New Roman" w:hAnsi="Times New Roman" w:eastAsia="宋体"/>
                              <w:sz w:val="28"/>
                              <w:szCs w:val="28"/>
                            </w:rPr>
                            <w:instrText xml:space="preserve"> PAGE  \* MERGEFORMAT </w:instrText>
                          </w:r>
                          <w:r>
                            <w:rPr>
                              <w:rFonts w:hint="eastAsia" w:ascii="Times New Roman" w:hAnsi="Times New Roman" w:eastAsia="宋体"/>
                              <w:sz w:val="28"/>
                              <w:szCs w:val="28"/>
                            </w:rPr>
                            <w:fldChar w:fldCharType="separate"/>
                          </w:r>
                          <w:r>
                            <w:rPr>
                              <w:rFonts w:ascii="Times New Roman" w:hAnsi="Times New Roman" w:eastAsia="宋体"/>
                              <w:sz w:val="28"/>
                              <w:szCs w:val="28"/>
                            </w:rPr>
                            <w:t>81</w:t>
                          </w:r>
                          <w:r>
                            <w:rPr>
                              <w:rFonts w:hint="eastAsia" w:ascii="Times New Roman" w:hAnsi="Times New Roman" w:eastAsia="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961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MvEMDPZAQAAtQMAAA4AAAAAAAAA&#10;AQAgAAAAIgEAAGRycy9lMm9Eb2MueG1sUEsFBgAAAAAGAAYAWQEAAG0FAAAAAA==&#10;">
              <v:fill on="f" focussize="0,0"/>
              <v:stroke on="f" weight="1.25pt"/>
              <v:imagedata o:title=""/>
              <o:lock v:ext="edit" aspectratio="f"/>
              <v:textbox inset="0mm,0mm,0mm,0mm" style="mso-fit-shape-to-text:t;">
                <w:txbxContent>
                  <w:p w14:paraId="1BAF4D39">
                    <w:pPr>
                      <w:snapToGrid w:val="0"/>
                      <w:jc w:val="left"/>
                      <w:rPr>
                        <w:rFonts w:ascii="Times New Roman" w:hAnsi="Times New Roman" w:eastAsia="宋体"/>
                        <w:sz w:val="18"/>
                        <w:szCs w:val="18"/>
                      </w:rPr>
                    </w:pPr>
                    <w:r>
                      <w:rPr>
                        <w:rFonts w:hint="eastAsia" w:ascii="Times New Roman" w:hAnsi="Times New Roman" w:eastAsia="宋体"/>
                        <w:sz w:val="28"/>
                        <w:szCs w:val="28"/>
                      </w:rPr>
                      <w:fldChar w:fldCharType="begin"/>
                    </w:r>
                    <w:r>
                      <w:rPr>
                        <w:rFonts w:hint="eastAsia" w:ascii="Times New Roman" w:hAnsi="Times New Roman" w:eastAsia="宋体"/>
                        <w:sz w:val="28"/>
                        <w:szCs w:val="28"/>
                      </w:rPr>
                      <w:instrText xml:space="preserve"> PAGE  \* MERGEFORMAT </w:instrText>
                    </w:r>
                    <w:r>
                      <w:rPr>
                        <w:rFonts w:hint="eastAsia" w:ascii="Times New Roman" w:hAnsi="Times New Roman" w:eastAsia="宋体"/>
                        <w:sz w:val="28"/>
                        <w:szCs w:val="28"/>
                      </w:rPr>
                      <w:fldChar w:fldCharType="separate"/>
                    </w:r>
                    <w:r>
                      <w:rPr>
                        <w:rFonts w:ascii="Times New Roman" w:hAnsi="Times New Roman" w:eastAsia="宋体"/>
                        <w:sz w:val="28"/>
                        <w:szCs w:val="28"/>
                      </w:rPr>
                      <w:t>81</w:t>
                    </w:r>
                    <w:r>
                      <w:rPr>
                        <w:rFonts w:hint="eastAsia" w:ascii="Times New Roman" w:hAnsi="Times New Roman" w:eastAsia="宋体"/>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1677472"/>
      <w:docPartObj>
        <w:docPartGallery w:val="autotext"/>
      </w:docPartObj>
    </w:sdtPr>
    <w:sdtEndPr>
      <w:rPr>
        <w:rFonts w:asciiTheme="majorEastAsia" w:hAnsiTheme="majorEastAsia" w:eastAsiaTheme="majorEastAsia"/>
        <w:sz w:val="28"/>
        <w:szCs w:val="28"/>
      </w:rPr>
    </w:sdtEndPr>
    <w:sdtContent>
      <w:p w14:paraId="1B0B8EBE">
        <w:pPr>
          <w:pStyle w:val="15"/>
          <w:jc w:val="right"/>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87</w:t>
        </w:r>
        <w:r>
          <w:rPr>
            <w:rFonts w:asciiTheme="majorEastAsia" w:hAnsiTheme="majorEastAsia" w:eastAsiaTheme="majorEastAsia"/>
            <w:sz w:val="28"/>
            <w:szCs w:val="28"/>
          </w:rPr>
          <w:fldChar w:fldCharType="end"/>
        </w:r>
        <w:r>
          <w:rPr>
            <w:rFonts w:hint="eastAsia" w:asciiTheme="majorEastAsia" w:hAnsiTheme="majorEastAsia" w:eastAsiaTheme="majorEastAsia"/>
            <w:sz w:val="28"/>
            <w:szCs w:val="28"/>
          </w:rPr>
          <w:t xml:space="preserve"> —</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5184965"/>
      <w:docPartObj>
        <w:docPartGallery w:val="autotext"/>
      </w:docPartObj>
    </w:sdtPr>
    <w:sdtEndPr>
      <w:rPr>
        <w:rFonts w:asciiTheme="minorEastAsia" w:hAnsiTheme="minorEastAsia" w:eastAsiaTheme="minorEastAsia"/>
        <w:sz w:val="28"/>
        <w:szCs w:val="28"/>
      </w:rPr>
    </w:sdtEndPr>
    <w:sdtContent>
      <w:p w14:paraId="312F2852">
        <w:pPr>
          <w:pStyle w:val="15"/>
          <w:jc w:val="righ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105 -</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 xml:space="preserve"> —</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EastAsia" w:hAnsiTheme="minorEastAsia" w:eastAsiaTheme="minorEastAsia"/>
        <w:sz w:val="28"/>
        <w:szCs w:val="28"/>
      </w:rPr>
      <w:id w:val="256801929"/>
      <w:docPartObj>
        <w:docPartGallery w:val="autotext"/>
      </w:docPartObj>
    </w:sdtPr>
    <w:sdtEndPr>
      <w:rPr>
        <w:rFonts w:asciiTheme="minorEastAsia" w:hAnsiTheme="minorEastAsia" w:eastAsiaTheme="minorEastAsia"/>
        <w:sz w:val="28"/>
        <w:szCs w:val="28"/>
      </w:rPr>
    </w:sdtEndPr>
    <w:sdtContent>
      <w:p w14:paraId="37C2BB90">
        <w:pPr>
          <w:pStyle w:val="15"/>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104</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2A79B">
    <w:pPr>
      <w:tabs>
        <w:tab w:val="center" w:pos="4153"/>
        <w:tab w:val="right" w:pos="8306"/>
      </w:tabs>
      <w:snapToGrid w:val="0"/>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50ED3">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B6E03">
    <w:pPr>
      <w:pStyle w:val="1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3DCCD">
    <w:pPr>
      <w:spacing w:line="20" w:lineRule="exact"/>
      <w:ind w:firstLine="601"/>
      <w:rPr>
        <w:rFonts w:ascii="Times New Roman" w:hAnsi="Times New Roman" w:eastAsia="宋体"/>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88EF0">
    <w:pPr>
      <w:adjustRightInd w:val="0"/>
      <w:snapToGrid w:val="0"/>
      <w:jc w:val="center"/>
      <w:rPr>
        <w:rFonts w:ascii="仿宋_GB2312" w:eastAsia="仿宋_GB2312"/>
        <w:kern w:val="0"/>
        <w:sz w:val="18"/>
        <w:szCs w:val="18"/>
      </w:rPr>
    </w:pPr>
    <w:r>
      <w:rPr>
        <w:rFonts w:hint="eastAsia" w:ascii="仿宋_GB2312" w:eastAsia="仿宋_GB2312"/>
        <w:kern w:val="0"/>
        <w:sz w:val="18"/>
        <w:szCs w:val="18"/>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7F01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F2DA96"/>
    <w:multiLevelType w:val="multilevel"/>
    <w:tmpl w:val="92F2DA96"/>
    <w:lvl w:ilvl="0" w:tentative="0">
      <w:start w:val="2"/>
      <w:numFmt w:val="decimal"/>
      <w:suff w:val="nothing"/>
      <w:lvlText w:val="（%1）"/>
      <w:lvlJc w:val="left"/>
    </w:lvl>
    <w:lvl w:ilvl="1" w:tentative="0">
      <w:start w:val="1"/>
      <w:numFmt w:val="lowerLetter"/>
      <w:lvlText w:val="%2)"/>
      <w:lvlJc w:val="left"/>
      <w:pPr>
        <w:ind w:left="4667" w:hanging="420"/>
      </w:pPr>
      <w:rPr>
        <w:rFonts w:hint="eastAsia"/>
      </w:rPr>
    </w:lvl>
    <w:lvl w:ilvl="2" w:tentative="0">
      <w:start w:val="1"/>
      <w:numFmt w:val="lowerRoman"/>
      <w:lvlText w:val="%3."/>
      <w:lvlJc w:val="right"/>
      <w:pPr>
        <w:ind w:left="5087" w:hanging="420"/>
      </w:pPr>
      <w:rPr>
        <w:rFonts w:hint="eastAsia"/>
      </w:rPr>
    </w:lvl>
    <w:lvl w:ilvl="3" w:tentative="0">
      <w:start w:val="1"/>
      <w:numFmt w:val="decimal"/>
      <w:lvlText w:val="%4."/>
      <w:lvlJc w:val="left"/>
      <w:pPr>
        <w:ind w:left="5507" w:hanging="420"/>
      </w:pPr>
      <w:rPr>
        <w:rFonts w:hint="eastAsia"/>
      </w:rPr>
    </w:lvl>
    <w:lvl w:ilvl="4" w:tentative="0">
      <w:start w:val="1"/>
      <w:numFmt w:val="lowerLetter"/>
      <w:lvlText w:val="%5)"/>
      <w:lvlJc w:val="left"/>
      <w:pPr>
        <w:ind w:left="5927" w:hanging="420"/>
      </w:pPr>
      <w:rPr>
        <w:rFonts w:hint="eastAsia"/>
      </w:rPr>
    </w:lvl>
    <w:lvl w:ilvl="5" w:tentative="0">
      <w:start w:val="1"/>
      <w:numFmt w:val="lowerRoman"/>
      <w:lvlText w:val="%6."/>
      <w:lvlJc w:val="right"/>
      <w:pPr>
        <w:ind w:left="6347" w:hanging="420"/>
      </w:pPr>
      <w:rPr>
        <w:rFonts w:hint="eastAsia"/>
      </w:rPr>
    </w:lvl>
    <w:lvl w:ilvl="6" w:tentative="0">
      <w:start w:val="1"/>
      <w:numFmt w:val="decimal"/>
      <w:lvlText w:val="%7."/>
      <w:lvlJc w:val="left"/>
      <w:pPr>
        <w:ind w:left="6767" w:hanging="420"/>
      </w:pPr>
      <w:rPr>
        <w:rFonts w:hint="eastAsia"/>
      </w:rPr>
    </w:lvl>
    <w:lvl w:ilvl="7" w:tentative="0">
      <w:start w:val="1"/>
      <w:numFmt w:val="lowerLetter"/>
      <w:lvlText w:val="%8)"/>
      <w:lvlJc w:val="left"/>
      <w:pPr>
        <w:ind w:left="7187" w:hanging="420"/>
      </w:pPr>
      <w:rPr>
        <w:rFonts w:hint="eastAsia"/>
      </w:rPr>
    </w:lvl>
    <w:lvl w:ilvl="8" w:tentative="0">
      <w:start w:val="1"/>
      <w:numFmt w:val="lowerRoman"/>
      <w:lvlText w:val="%9."/>
      <w:lvlJc w:val="right"/>
      <w:pPr>
        <w:ind w:left="7607" w:hanging="420"/>
      </w:pPr>
      <w:rPr>
        <w:rFonts w:hint="eastAsia"/>
      </w:rPr>
    </w:lvl>
  </w:abstractNum>
  <w:abstractNum w:abstractNumId="1">
    <w:nsid w:val="4C7A1D9D"/>
    <w:multiLevelType w:val="multilevel"/>
    <w:tmpl w:val="4C7A1D9D"/>
    <w:lvl w:ilvl="0" w:tentative="0">
      <w:start w:val="1"/>
      <w:numFmt w:val="decimalEnclosedParen"/>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58742D7B"/>
    <w:multiLevelType w:val="multilevel"/>
    <w:tmpl w:val="58742D7B"/>
    <w:lvl w:ilvl="0" w:tentative="0">
      <w:start w:val="1"/>
      <w:numFmt w:val="decimal"/>
      <w:suff w:val="space"/>
      <w:lvlText w:val="%1"/>
      <w:lvlJc w:val="left"/>
      <w:pPr>
        <w:ind w:left="360" w:hanging="360"/>
      </w:pPr>
      <w:rPr>
        <w:rFonts w:hint="default" w:ascii="Times New Roman" w:hAnsi="Times New Roman" w:cs="Times New Roman"/>
        <w:color w:val="auto"/>
      </w:rPr>
    </w:lvl>
    <w:lvl w:ilvl="1" w:tentative="0">
      <w:start w:val="1"/>
      <w:numFmt w:val="decimal"/>
      <w:isLgl/>
      <w:suff w:val="space"/>
      <w:lvlText w:val="%1.%2"/>
      <w:lvlJc w:val="left"/>
      <w:pPr>
        <w:ind w:left="720" w:hanging="720"/>
      </w:pPr>
      <w:rPr>
        <w:rFonts w:hint="default" w:ascii="Times New Roman" w:hAnsi="Times New Roman" w:cs="Times New Roman"/>
      </w:rPr>
    </w:lvl>
    <w:lvl w:ilvl="2" w:tentative="0">
      <w:start w:val="1"/>
      <w:numFmt w:val="decimal"/>
      <w:isLgl/>
      <w:suff w:val="space"/>
      <w:lvlText w:val="%1.%2.%3"/>
      <w:lvlJc w:val="left"/>
      <w:pPr>
        <w:ind w:left="720" w:hanging="720"/>
      </w:pPr>
      <w:rPr>
        <w:rFonts w:hint="default" w:ascii="Times New Roman" w:hAnsi="Times New Roman" w:cs="Times New Roman"/>
      </w:rPr>
    </w:lvl>
    <w:lvl w:ilvl="3" w:tentative="0">
      <w:start w:val="1"/>
      <w:numFmt w:val="decimal"/>
      <w:pStyle w:val="6"/>
      <w:isLgl/>
      <w:suff w:val="space"/>
      <w:lvlText w:val="%1.%2.%3.%4"/>
      <w:lvlJc w:val="left"/>
      <w:pPr>
        <w:ind w:left="1080" w:hanging="1080"/>
      </w:pPr>
      <w:rPr>
        <w:rFonts w:hint="default" w:ascii="Times New Roman" w:hAnsi="Times New Roman" w:cs="Times New Roman"/>
      </w:rPr>
    </w:lvl>
    <w:lvl w:ilvl="4" w:tentative="0">
      <w:start w:val="1"/>
      <w:numFmt w:val="decimal"/>
      <w:isLgl/>
      <w:lvlText w:val="%1.%2.%3.%4.%5"/>
      <w:lvlJc w:val="left"/>
      <w:pPr>
        <w:tabs>
          <w:tab w:val="left" w:pos="1440"/>
        </w:tabs>
        <w:ind w:left="1440" w:hanging="1440"/>
      </w:pPr>
      <w:rPr>
        <w:rFonts w:hint="default" w:cs="Times New Roman"/>
      </w:rPr>
    </w:lvl>
    <w:lvl w:ilvl="5" w:tentative="0">
      <w:start w:val="1"/>
      <w:numFmt w:val="decimal"/>
      <w:isLgl/>
      <w:lvlText w:val="%1.%2.%3.%4.%5.%6"/>
      <w:lvlJc w:val="left"/>
      <w:pPr>
        <w:tabs>
          <w:tab w:val="left" w:pos="1800"/>
        </w:tabs>
        <w:ind w:left="1800" w:hanging="1800"/>
      </w:pPr>
      <w:rPr>
        <w:rFonts w:hint="default" w:cs="Times New Roman"/>
      </w:rPr>
    </w:lvl>
    <w:lvl w:ilvl="6" w:tentative="0">
      <w:start w:val="1"/>
      <w:numFmt w:val="decimal"/>
      <w:isLgl/>
      <w:lvlText w:val="%1.%2.%3.%4.%5.%6.%7"/>
      <w:lvlJc w:val="left"/>
      <w:pPr>
        <w:tabs>
          <w:tab w:val="left" w:pos="2160"/>
        </w:tabs>
        <w:ind w:left="2160" w:hanging="2160"/>
      </w:pPr>
      <w:rPr>
        <w:rFonts w:hint="default" w:cs="Times New Roman"/>
      </w:rPr>
    </w:lvl>
    <w:lvl w:ilvl="7" w:tentative="0">
      <w:start w:val="1"/>
      <w:numFmt w:val="decimal"/>
      <w:isLgl/>
      <w:lvlText w:val="%1.%2.%3.%4.%5.%6.%7.%8"/>
      <w:lvlJc w:val="left"/>
      <w:pPr>
        <w:tabs>
          <w:tab w:val="left" w:pos="2160"/>
        </w:tabs>
        <w:ind w:left="2160" w:hanging="2160"/>
      </w:pPr>
      <w:rPr>
        <w:rFonts w:hint="default" w:cs="Times New Roman"/>
      </w:rPr>
    </w:lvl>
    <w:lvl w:ilvl="8" w:tentative="0">
      <w:start w:val="1"/>
      <w:numFmt w:val="decimal"/>
      <w:isLgl/>
      <w:lvlText w:val="%1.%2.%3.%4.%5.%6.%7.%8.%9"/>
      <w:lvlJc w:val="left"/>
      <w:pPr>
        <w:tabs>
          <w:tab w:val="left" w:pos="2520"/>
        </w:tabs>
        <w:ind w:left="2520" w:hanging="2520"/>
      </w:pPr>
      <w:rPr>
        <w:rFonts w:hint="default" w:cs="Times New Roman"/>
      </w:rPr>
    </w:lvl>
  </w:abstractNum>
  <w:abstractNum w:abstractNumId="3">
    <w:nsid w:val="67ABCB30"/>
    <w:multiLevelType w:val="multilevel"/>
    <w:tmpl w:val="67ABCB30"/>
    <w:lvl w:ilvl="0" w:tentative="0">
      <w:start w:val="1"/>
      <w:numFmt w:val="decimal"/>
      <w:suff w:val="nothing"/>
      <w:lvlText w:val="（%1）"/>
      <w:lvlJc w:val="left"/>
    </w:lvl>
    <w:lvl w:ilvl="1" w:tentative="0">
      <w:start w:val="1"/>
      <w:numFmt w:val="lowerLetter"/>
      <w:lvlText w:val="%2)"/>
      <w:lvlJc w:val="left"/>
      <w:pPr>
        <w:ind w:left="1832" w:hanging="420"/>
      </w:pPr>
    </w:lvl>
    <w:lvl w:ilvl="2" w:tentative="0">
      <w:start w:val="1"/>
      <w:numFmt w:val="lowerRoman"/>
      <w:lvlText w:val="%3."/>
      <w:lvlJc w:val="right"/>
      <w:pPr>
        <w:ind w:left="2252" w:hanging="420"/>
      </w:pPr>
    </w:lvl>
    <w:lvl w:ilvl="3" w:tentative="0">
      <w:start w:val="1"/>
      <w:numFmt w:val="decimal"/>
      <w:lvlText w:val="%4."/>
      <w:lvlJc w:val="left"/>
      <w:pPr>
        <w:ind w:left="2672" w:hanging="420"/>
      </w:pPr>
    </w:lvl>
    <w:lvl w:ilvl="4" w:tentative="0">
      <w:start w:val="1"/>
      <w:numFmt w:val="lowerLetter"/>
      <w:lvlText w:val="%5)"/>
      <w:lvlJc w:val="left"/>
      <w:pPr>
        <w:ind w:left="3092" w:hanging="420"/>
      </w:pPr>
    </w:lvl>
    <w:lvl w:ilvl="5" w:tentative="0">
      <w:start w:val="1"/>
      <w:numFmt w:val="lowerRoman"/>
      <w:lvlText w:val="%6."/>
      <w:lvlJc w:val="right"/>
      <w:pPr>
        <w:ind w:left="3512" w:hanging="420"/>
      </w:pPr>
    </w:lvl>
    <w:lvl w:ilvl="6" w:tentative="0">
      <w:start w:val="1"/>
      <w:numFmt w:val="decimal"/>
      <w:lvlText w:val="%7."/>
      <w:lvlJc w:val="left"/>
      <w:pPr>
        <w:ind w:left="3932" w:hanging="420"/>
      </w:pPr>
    </w:lvl>
    <w:lvl w:ilvl="7" w:tentative="0">
      <w:start w:val="1"/>
      <w:numFmt w:val="lowerLetter"/>
      <w:lvlText w:val="%8)"/>
      <w:lvlJc w:val="left"/>
      <w:pPr>
        <w:ind w:left="4352" w:hanging="420"/>
      </w:pPr>
    </w:lvl>
    <w:lvl w:ilvl="8" w:tentative="0">
      <w:start w:val="1"/>
      <w:numFmt w:val="lowerRoman"/>
      <w:lvlText w:val="%9."/>
      <w:lvlJc w:val="right"/>
      <w:pPr>
        <w:ind w:left="4772" w:hanging="420"/>
      </w:pPr>
    </w:lvl>
  </w:abstractNum>
  <w:abstractNum w:abstractNumId="4">
    <w:nsid w:val="76DF14FF"/>
    <w:multiLevelType w:val="multilevel"/>
    <w:tmpl w:val="76DF14FF"/>
    <w:lvl w:ilvl="0" w:tentative="0">
      <w:start w:val="1"/>
      <w:numFmt w:val="decimalEnclosedParen"/>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0"/>
  <w:bordersDoNotSurroundFooter w:val="0"/>
  <w:hideSpellingErrors/>
  <w:documentProtection w:enforcement="0"/>
  <w:defaultTabStop w:val="420"/>
  <w:evenAndOddHeaders w:val="1"/>
  <w:drawingGridHorizontalSpacing w:val="205"/>
  <w:drawingGridVerticalSpacing w:val="295"/>
  <w:displayHorizontalDrawingGridEvery w:val="1"/>
  <w:displayVerticalDrawingGridEvery w:val="1"/>
  <w:noPunctuationKerning w:val="1"/>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B1E"/>
    <w:rsid w:val="00023A9F"/>
    <w:rsid w:val="00050A86"/>
    <w:rsid w:val="000942F3"/>
    <w:rsid w:val="000A4E7C"/>
    <w:rsid w:val="000E4D94"/>
    <w:rsid w:val="00113F63"/>
    <w:rsid w:val="00146FFB"/>
    <w:rsid w:val="0015146B"/>
    <w:rsid w:val="00172BE5"/>
    <w:rsid w:val="00192DD7"/>
    <w:rsid w:val="002877F1"/>
    <w:rsid w:val="002C2F61"/>
    <w:rsid w:val="002C47C5"/>
    <w:rsid w:val="002D0509"/>
    <w:rsid w:val="00305F52"/>
    <w:rsid w:val="00336C91"/>
    <w:rsid w:val="00345D66"/>
    <w:rsid w:val="00370F03"/>
    <w:rsid w:val="003D0891"/>
    <w:rsid w:val="00405252"/>
    <w:rsid w:val="004444AC"/>
    <w:rsid w:val="00462D7A"/>
    <w:rsid w:val="004A0630"/>
    <w:rsid w:val="004D5621"/>
    <w:rsid w:val="004E4424"/>
    <w:rsid w:val="005038B3"/>
    <w:rsid w:val="00530036"/>
    <w:rsid w:val="00554597"/>
    <w:rsid w:val="0056337E"/>
    <w:rsid w:val="005A10D9"/>
    <w:rsid w:val="005C5147"/>
    <w:rsid w:val="00637D46"/>
    <w:rsid w:val="00674FE8"/>
    <w:rsid w:val="00684C35"/>
    <w:rsid w:val="006D4CD8"/>
    <w:rsid w:val="006F36B1"/>
    <w:rsid w:val="00700502"/>
    <w:rsid w:val="007407C1"/>
    <w:rsid w:val="00756FE5"/>
    <w:rsid w:val="00782290"/>
    <w:rsid w:val="007A0587"/>
    <w:rsid w:val="00873F67"/>
    <w:rsid w:val="00931F7A"/>
    <w:rsid w:val="009706FF"/>
    <w:rsid w:val="00986569"/>
    <w:rsid w:val="0099624A"/>
    <w:rsid w:val="009B30F3"/>
    <w:rsid w:val="00A35331"/>
    <w:rsid w:val="00A55527"/>
    <w:rsid w:val="00A81B5E"/>
    <w:rsid w:val="00B479D3"/>
    <w:rsid w:val="00B57A79"/>
    <w:rsid w:val="00B655ED"/>
    <w:rsid w:val="00B908C3"/>
    <w:rsid w:val="00BB1FA8"/>
    <w:rsid w:val="00C06387"/>
    <w:rsid w:val="00C21CE7"/>
    <w:rsid w:val="00C95C26"/>
    <w:rsid w:val="00CA4930"/>
    <w:rsid w:val="00CD12F3"/>
    <w:rsid w:val="00D55E3A"/>
    <w:rsid w:val="00D97615"/>
    <w:rsid w:val="00DD13CF"/>
    <w:rsid w:val="00DD6757"/>
    <w:rsid w:val="00DF0785"/>
    <w:rsid w:val="00E02633"/>
    <w:rsid w:val="00E32B1E"/>
    <w:rsid w:val="00E954F0"/>
    <w:rsid w:val="00F10833"/>
    <w:rsid w:val="00F55AB4"/>
    <w:rsid w:val="00F751AF"/>
    <w:rsid w:val="00F814B0"/>
    <w:rsid w:val="05720226"/>
    <w:rsid w:val="05802131"/>
    <w:rsid w:val="06681D52"/>
    <w:rsid w:val="07274124"/>
    <w:rsid w:val="08117273"/>
    <w:rsid w:val="09A37977"/>
    <w:rsid w:val="0A43481F"/>
    <w:rsid w:val="0AE5705C"/>
    <w:rsid w:val="0C8934F7"/>
    <w:rsid w:val="0EF73EBD"/>
    <w:rsid w:val="0FB0545E"/>
    <w:rsid w:val="10F317CA"/>
    <w:rsid w:val="11590D77"/>
    <w:rsid w:val="117002C0"/>
    <w:rsid w:val="12883D2A"/>
    <w:rsid w:val="13E920C5"/>
    <w:rsid w:val="145B7406"/>
    <w:rsid w:val="17DF2E14"/>
    <w:rsid w:val="17E136EF"/>
    <w:rsid w:val="184D0B36"/>
    <w:rsid w:val="186A4CCD"/>
    <w:rsid w:val="1A307060"/>
    <w:rsid w:val="1BB243F0"/>
    <w:rsid w:val="1E2D6D44"/>
    <w:rsid w:val="22D138AD"/>
    <w:rsid w:val="24486D4E"/>
    <w:rsid w:val="24B104DE"/>
    <w:rsid w:val="251B2665"/>
    <w:rsid w:val="25B342C1"/>
    <w:rsid w:val="27445D48"/>
    <w:rsid w:val="27E07A67"/>
    <w:rsid w:val="28667851"/>
    <w:rsid w:val="2AA74C1F"/>
    <w:rsid w:val="2BA35092"/>
    <w:rsid w:val="2DB7734E"/>
    <w:rsid w:val="30574F89"/>
    <w:rsid w:val="313E6C5F"/>
    <w:rsid w:val="31BE14EA"/>
    <w:rsid w:val="3305705C"/>
    <w:rsid w:val="342B3610"/>
    <w:rsid w:val="375F1C75"/>
    <w:rsid w:val="37616A88"/>
    <w:rsid w:val="387A5FDE"/>
    <w:rsid w:val="3A786BBD"/>
    <w:rsid w:val="3BCB5F11"/>
    <w:rsid w:val="3E7A4C25"/>
    <w:rsid w:val="45F87E27"/>
    <w:rsid w:val="46AB7FA2"/>
    <w:rsid w:val="491F644F"/>
    <w:rsid w:val="496628A4"/>
    <w:rsid w:val="4AB039FB"/>
    <w:rsid w:val="4B09715C"/>
    <w:rsid w:val="4B39164B"/>
    <w:rsid w:val="4B540690"/>
    <w:rsid w:val="4C3F4666"/>
    <w:rsid w:val="4CD24939"/>
    <w:rsid w:val="4EC537CB"/>
    <w:rsid w:val="4FEF64D2"/>
    <w:rsid w:val="50377DC7"/>
    <w:rsid w:val="505031E4"/>
    <w:rsid w:val="51E969F2"/>
    <w:rsid w:val="54E77CB1"/>
    <w:rsid w:val="55A25D76"/>
    <w:rsid w:val="55B077BB"/>
    <w:rsid w:val="57DF7E0D"/>
    <w:rsid w:val="581F6609"/>
    <w:rsid w:val="59714FD7"/>
    <w:rsid w:val="5B045627"/>
    <w:rsid w:val="5B70605E"/>
    <w:rsid w:val="5BD61529"/>
    <w:rsid w:val="5C6654EA"/>
    <w:rsid w:val="5DAA47CA"/>
    <w:rsid w:val="5F6973D6"/>
    <w:rsid w:val="60BA3D08"/>
    <w:rsid w:val="628D7C00"/>
    <w:rsid w:val="63281595"/>
    <w:rsid w:val="68E54BE8"/>
    <w:rsid w:val="6A837A27"/>
    <w:rsid w:val="6A9324F9"/>
    <w:rsid w:val="6AEA36A9"/>
    <w:rsid w:val="6D611778"/>
    <w:rsid w:val="70EF187E"/>
    <w:rsid w:val="712B18A1"/>
    <w:rsid w:val="74CC736C"/>
    <w:rsid w:val="75633599"/>
    <w:rsid w:val="76C16D50"/>
    <w:rsid w:val="76CD3339"/>
    <w:rsid w:val="77B63527"/>
    <w:rsid w:val="77EF6EBE"/>
    <w:rsid w:val="7B72763B"/>
    <w:rsid w:val="7DF617F9"/>
    <w:rsid w:val="7F354308"/>
    <w:rsid w:val="7FB419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0" w:semiHidden="0" w:name="Body Text First Indent 2"/>
    <w:lsdException w:uiPriority="99" w:name="Note Heading"/>
    <w:lsdException w:uiPriority="99" w:name="Body Text 2"/>
    <w:lsdException w:qFormat="1" w:unhideWhenUsed="0" w:uiPriority="99" w:semiHidden="0"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微软雅黑" w:cs="Times New Roman"/>
      <w:kern w:val="2"/>
      <w:sz w:val="21"/>
      <w:szCs w:val="22"/>
      <w:lang w:val="en-US" w:eastAsia="zh-CN" w:bidi="ar-SA"/>
    </w:rPr>
  </w:style>
  <w:style w:type="paragraph" w:styleId="3">
    <w:name w:val="heading 1"/>
    <w:next w:val="1"/>
    <w:qFormat/>
    <w:uiPriority w:val="9"/>
    <w:pPr>
      <w:keepNext/>
      <w:keepLines/>
      <w:spacing w:line="520" w:lineRule="exact"/>
      <w:ind w:firstLine="200" w:firstLineChars="200"/>
      <w:outlineLvl w:val="0"/>
    </w:pPr>
    <w:rPr>
      <w:rFonts w:ascii="Cambria" w:hAnsi="Cambria" w:eastAsia="宋体" w:cs="Times New Roman"/>
      <w:b/>
      <w:bCs/>
      <w:sz w:val="28"/>
      <w:szCs w:val="28"/>
      <w:lang w:val="en-US" w:eastAsia="en-US" w:bidi="ar-SA"/>
    </w:rPr>
  </w:style>
  <w:style w:type="paragraph" w:styleId="4">
    <w:name w:val="heading 2"/>
    <w:next w:val="1"/>
    <w:qFormat/>
    <w:uiPriority w:val="9"/>
    <w:pPr>
      <w:keepNext/>
      <w:keepLines/>
      <w:spacing w:line="480" w:lineRule="exact"/>
      <w:ind w:firstLine="200" w:firstLineChars="200"/>
      <w:outlineLvl w:val="1"/>
    </w:pPr>
    <w:rPr>
      <w:rFonts w:ascii="Cambria" w:hAnsi="Cambria" w:eastAsia="宋体" w:cs="Times New Roman"/>
      <w:b/>
      <w:bCs/>
      <w:sz w:val="24"/>
      <w:szCs w:val="26"/>
      <w:lang w:val="en-US" w:eastAsia="en-US" w:bidi="ar-SA"/>
    </w:rPr>
  </w:style>
  <w:style w:type="paragraph" w:styleId="5">
    <w:name w:val="heading 3"/>
    <w:next w:val="1"/>
    <w:qFormat/>
    <w:uiPriority w:val="9"/>
    <w:pPr>
      <w:keepNext/>
      <w:keepLines/>
      <w:spacing w:line="400" w:lineRule="exact"/>
      <w:ind w:firstLine="200" w:firstLineChars="200"/>
      <w:outlineLvl w:val="2"/>
    </w:pPr>
    <w:rPr>
      <w:rFonts w:ascii="Cambria" w:hAnsi="Cambria" w:eastAsia="宋体" w:cs="Times New Roman"/>
      <w:b/>
      <w:bCs/>
      <w:sz w:val="24"/>
      <w:szCs w:val="22"/>
      <w:lang w:val="en-US" w:eastAsia="en-US" w:bidi="en-US"/>
    </w:rPr>
  </w:style>
  <w:style w:type="paragraph" w:styleId="6">
    <w:name w:val="heading 4"/>
    <w:next w:val="1"/>
    <w:qFormat/>
    <w:uiPriority w:val="0"/>
    <w:pPr>
      <w:widowControl w:val="0"/>
      <w:numPr>
        <w:ilvl w:val="3"/>
        <w:numId w:val="1"/>
      </w:numPr>
      <w:spacing w:before="60" w:after="60" w:line="360" w:lineRule="auto"/>
      <w:jc w:val="both"/>
      <w:outlineLvl w:val="3"/>
    </w:pPr>
    <w:rPr>
      <w:rFonts w:ascii="Times New Roman" w:hAnsi="Times New Roman" w:eastAsia="黑体" w:cs="Times New Roman"/>
      <w:kern w:val="2"/>
      <w:sz w:val="28"/>
      <w:szCs w:val="28"/>
      <w:lang w:val="en-US" w:eastAsia="zh-CN" w:bidi="ar-SA"/>
    </w:rPr>
  </w:style>
  <w:style w:type="character" w:default="1" w:styleId="26">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样式 样式 左侧:  2 字符 + 左侧:  0.85 厘米 首行缩进:  2 字符1"/>
    <w:qFormat/>
    <w:uiPriority w:val="0"/>
    <w:pPr>
      <w:widowControl w:val="0"/>
      <w:spacing w:line="360" w:lineRule="auto"/>
      <w:ind w:left="482" w:firstLine="200" w:firstLineChars="200"/>
      <w:jc w:val="both"/>
    </w:pPr>
    <w:rPr>
      <w:rFonts w:ascii="Times New Roman" w:hAnsi="Times New Roman" w:eastAsia="宋体" w:cs="宋体"/>
      <w:kern w:val="2"/>
      <w:sz w:val="24"/>
      <w:lang w:val="en-US" w:eastAsia="zh-CN" w:bidi="ar-SA"/>
    </w:rPr>
  </w:style>
  <w:style w:type="paragraph" w:styleId="7">
    <w:name w:val="Normal Indent"/>
    <w:qFormat/>
    <w:uiPriority w:val="0"/>
    <w:pPr>
      <w:widowControl w:val="0"/>
      <w:autoSpaceDE w:val="0"/>
      <w:autoSpaceDN w:val="0"/>
      <w:adjustRightInd w:val="0"/>
      <w:spacing w:line="567" w:lineRule="atLeast"/>
    </w:pPr>
    <w:rPr>
      <w:rFonts w:ascii="仿宋_GB2312" w:hAnsi="Times New Roman" w:eastAsia="仿宋_GB2312" w:cs="Times New Roman"/>
      <w:spacing w:val="-35"/>
      <w:sz w:val="32"/>
      <w:lang w:val="en-US" w:eastAsia="zh-CN" w:bidi="ar-SA"/>
    </w:rPr>
  </w:style>
  <w:style w:type="paragraph" w:styleId="8">
    <w:name w:val="Body Text 3"/>
    <w:qFormat/>
    <w:uiPriority w:val="99"/>
    <w:pPr>
      <w:spacing w:after="120" w:line="276" w:lineRule="auto"/>
    </w:pPr>
    <w:rPr>
      <w:rFonts w:ascii="Calibri" w:hAnsi="Calibri" w:eastAsia="宋体" w:cs="Times New Roman"/>
      <w:kern w:val="2"/>
      <w:sz w:val="16"/>
      <w:szCs w:val="16"/>
      <w:lang w:val="fr-FR" w:eastAsia="zh-CN" w:bidi="ar-SA"/>
    </w:rPr>
  </w:style>
  <w:style w:type="paragraph" w:styleId="9">
    <w:name w:val="Body Text"/>
    <w:qFormat/>
    <w:uiPriority w:val="0"/>
    <w:pPr>
      <w:widowControl w:val="0"/>
      <w:spacing w:after="120"/>
      <w:jc w:val="both"/>
    </w:pPr>
    <w:rPr>
      <w:rFonts w:ascii="Times New Roman" w:hAnsi="Times New Roman" w:eastAsia="宋体" w:cs="Times New Roman"/>
      <w:kern w:val="2"/>
      <w:sz w:val="21"/>
      <w:szCs w:val="24"/>
      <w:lang w:val="en-US" w:eastAsia="zh-CN" w:bidi="ar-SA"/>
    </w:rPr>
  </w:style>
  <w:style w:type="paragraph" w:styleId="10">
    <w:name w:val="Body Text Indent"/>
    <w:basedOn w:val="1"/>
    <w:link w:val="40"/>
    <w:unhideWhenUsed/>
    <w:qFormat/>
    <w:uiPriority w:val="99"/>
    <w:pPr>
      <w:spacing w:after="120"/>
      <w:ind w:left="420" w:leftChars="200"/>
    </w:pPr>
  </w:style>
  <w:style w:type="paragraph" w:styleId="11">
    <w:name w:val="toc 3"/>
    <w:next w:val="1"/>
    <w:qFormat/>
    <w:uiPriority w:val="39"/>
    <w:pPr>
      <w:widowControl w:val="0"/>
      <w:tabs>
        <w:tab w:val="right" w:leader="dot" w:pos="8296"/>
      </w:tabs>
      <w:jc w:val="center"/>
    </w:pPr>
    <w:rPr>
      <w:rFonts w:ascii="Times New Roman" w:hAnsi="Times New Roman" w:eastAsia="宋体" w:cs="Times New Roman"/>
      <w:kern w:val="2"/>
      <w:sz w:val="21"/>
      <w:szCs w:val="24"/>
      <w:lang w:val="en-US" w:eastAsia="zh-CN" w:bidi="ar-SA"/>
    </w:rPr>
  </w:style>
  <w:style w:type="paragraph" w:styleId="12">
    <w:name w:val="Plain Text"/>
    <w:qFormat/>
    <w:uiPriority w:val="0"/>
    <w:pPr>
      <w:widowControl w:val="0"/>
      <w:jc w:val="both"/>
    </w:pPr>
    <w:rPr>
      <w:rFonts w:ascii="宋体" w:hAnsi="Courier New" w:eastAsia="宋体" w:cs="Times New Roman"/>
      <w:kern w:val="2"/>
      <w:sz w:val="21"/>
      <w:lang w:val="en-US" w:eastAsia="zh-CN" w:bidi="ar-SA"/>
    </w:rPr>
  </w:style>
  <w:style w:type="paragraph" w:styleId="13">
    <w:name w:val="Date"/>
    <w:basedOn w:val="1"/>
    <w:next w:val="1"/>
    <w:link w:val="46"/>
    <w:unhideWhenUsed/>
    <w:qFormat/>
    <w:uiPriority w:val="99"/>
    <w:pPr>
      <w:ind w:left="100" w:leftChars="2500"/>
    </w:pPr>
  </w:style>
  <w:style w:type="paragraph" w:styleId="14">
    <w:name w:val="Balloon Text"/>
    <w:basedOn w:val="1"/>
    <w:link w:val="59"/>
    <w:semiHidden/>
    <w:unhideWhenUsed/>
    <w:qFormat/>
    <w:uiPriority w:val="99"/>
    <w:rPr>
      <w:sz w:val="18"/>
      <w:szCs w:val="18"/>
    </w:rPr>
  </w:style>
  <w:style w:type="paragraph" w:styleId="15">
    <w:name w:val="footer"/>
    <w:basedOn w:val="1"/>
    <w:link w:val="47"/>
    <w:unhideWhenUsed/>
    <w:qFormat/>
    <w:uiPriority w:val="99"/>
    <w:pPr>
      <w:tabs>
        <w:tab w:val="center" w:pos="4153"/>
        <w:tab w:val="right" w:pos="8306"/>
      </w:tabs>
      <w:snapToGrid w:val="0"/>
      <w:jc w:val="left"/>
    </w:pPr>
    <w:rPr>
      <w:sz w:val="18"/>
      <w:szCs w:val="18"/>
    </w:rPr>
  </w:style>
  <w:style w:type="paragraph" w:styleId="16">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next w:val="1"/>
    <w:qFormat/>
    <w:uiPriority w:val="39"/>
    <w:pPr>
      <w:widowControl w:val="0"/>
      <w:jc w:val="both"/>
    </w:pPr>
    <w:rPr>
      <w:rFonts w:ascii="Times New Roman" w:hAnsi="Times New Roman" w:eastAsia="宋体" w:cs="Times New Roman"/>
      <w:kern w:val="2"/>
      <w:sz w:val="21"/>
      <w:szCs w:val="24"/>
      <w:lang w:val="en-US" w:eastAsia="zh-CN" w:bidi="ar-SA"/>
    </w:rPr>
  </w:style>
  <w:style w:type="paragraph" w:styleId="18">
    <w:name w:val="footnote text"/>
    <w:basedOn w:val="1"/>
    <w:link w:val="61"/>
    <w:unhideWhenUsed/>
    <w:qFormat/>
    <w:uiPriority w:val="99"/>
    <w:pPr>
      <w:widowControl/>
      <w:jc w:val="left"/>
    </w:pPr>
    <w:rPr>
      <w:rFonts w:asciiTheme="minorHAnsi" w:hAnsiTheme="minorHAnsi" w:eastAsiaTheme="minorEastAsia" w:cstheme="minorBidi"/>
      <w:kern w:val="0"/>
      <w:sz w:val="20"/>
      <w:szCs w:val="20"/>
    </w:rPr>
  </w:style>
  <w:style w:type="paragraph" w:styleId="19">
    <w:name w:val="Body Text Indent 3"/>
    <w:qFormat/>
    <w:uiPriority w:val="0"/>
    <w:pPr>
      <w:widowControl w:val="0"/>
      <w:autoSpaceDE w:val="0"/>
      <w:autoSpaceDN w:val="0"/>
      <w:adjustRightInd w:val="0"/>
      <w:spacing w:line="540" w:lineRule="exact"/>
      <w:ind w:firstLine="630"/>
    </w:pPr>
    <w:rPr>
      <w:rFonts w:ascii="仿宋_GB2312" w:hAnsi="Times New Roman" w:eastAsia="仿宋_GB2312" w:cs="Times New Roman"/>
      <w:bCs/>
      <w:color w:val="FF0000"/>
      <w:kern w:val="2"/>
      <w:sz w:val="32"/>
      <w:lang w:val="en-US" w:eastAsia="zh-CN" w:bidi="ar-SA"/>
    </w:rPr>
  </w:style>
  <w:style w:type="paragraph" w:styleId="20">
    <w:name w:val="toc 2"/>
    <w:next w:val="1"/>
    <w:unhideWhenUsed/>
    <w:qFormat/>
    <w:uiPriority w:val="39"/>
    <w:pPr>
      <w:widowControl w:val="0"/>
      <w:ind w:left="210"/>
    </w:pPr>
    <w:rPr>
      <w:rFonts w:ascii="Calibri" w:hAnsi="Calibri" w:eastAsia="宋体" w:cs="Calibri"/>
      <w:smallCaps/>
      <w:kern w:val="2"/>
      <w:lang w:val="en-US" w:eastAsia="zh-CN" w:bidi="ar-SA"/>
    </w:rPr>
  </w:style>
  <w:style w:type="paragraph" w:styleId="21">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2">
    <w:name w:val="Body Text First Indent 2"/>
    <w:basedOn w:val="10"/>
    <w:link w:val="41"/>
    <w:unhideWhenUsed/>
    <w:qFormat/>
    <w:uiPriority w:val="0"/>
    <w:pPr>
      <w:ind w:firstLine="420" w:firstLineChars="200"/>
    </w:pPr>
    <w:rPr>
      <w:rFonts w:ascii="Times New Roman" w:hAnsi="Times New Roman"/>
      <w:szCs w:val="20"/>
    </w:rPr>
  </w:style>
  <w:style w:type="table" w:styleId="24">
    <w:name w:val="Table Grid"/>
    <w:basedOn w:val="23"/>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5">
    <w:name w:val="Medium Shading 2 Accent 5"/>
    <w:basedOn w:val="23"/>
    <w:qFormat/>
    <w:uiPriority w:val="64"/>
    <w:rPr>
      <w:rFonts w:asciiTheme="minorHAnsi" w:hAnsiTheme="minorHAnsi" w:eastAsiaTheme="minorEastAsia" w:cstheme="minorBidi"/>
      <w:sz w:val="22"/>
      <w:szCs w:val="22"/>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character" w:styleId="27">
    <w:name w:val="Strong"/>
    <w:qFormat/>
    <w:uiPriority w:val="0"/>
    <w:rPr>
      <w:b/>
      <w:bCs/>
    </w:rPr>
  </w:style>
  <w:style w:type="character" w:styleId="28">
    <w:name w:val="page number"/>
    <w:qFormat/>
    <w:uiPriority w:val="0"/>
  </w:style>
  <w:style w:type="character" w:styleId="29">
    <w:name w:val="FollowedHyperlink"/>
    <w:basedOn w:val="26"/>
    <w:unhideWhenUsed/>
    <w:qFormat/>
    <w:uiPriority w:val="99"/>
    <w:rPr>
      <w:color w:val="333333"/>
      <w:u w:val="none"/>
    </w:rPr>
  </w:style>
  <w:style w:type="character" w:styleId="30">
    <w:name w:val="Emphasis"/>
    <w:basedOn w:val="26"/>
    <w:qFormat/>
    <w:uiPriority w:val="20"/>
  </w:style>
  <w:style w:type="character" w:styleId="31">
    <w:name w:val="HTML Definition"/>
    <w:basedOn w:val="26"/>
    <w:unhideWhenUsed/>
    <w:qFormat/>
    <w:uiPriority w:val="99"/>
  </w:style>
  <w:style w:type="character" w:styleId="32">
    <w:name w:val="HTML Variable"/>
    <w:basedOn w:val="26"/>
    <w:unhideWhenUsed/>
    <w:qFormat/>
    <w:uiPriority w:val="99"/>
  </w:style>
  <w:style w:type="character" w:styleId="33">
    <w:name w:val="Hyperlink"/>
    <w:basedOn w:val="26"/>
    <w:qFormat/>
    <w:uiPriority w:val="0"/>
    <w:rPr>
      <w:color w:val="333333"/>
      <w:u w:val="none"/>
    </w:rPr>
  </w:style>
  <w:style w:type="character" w:styleId="34">
    <w:name w:val="HTML Code"/>
    <w:basedOn w:val="26"/>
    <w:unhideWhenUsed/>
    <w:qFormat/>
    <w:uiPriority w:val="99"/>
    <w:rPr>
      <w:rFonts w:ascii="Courier New" w:hAnsi="Courier New"/>
      <w:sz w:val="20"/>
    </w:rPr>
  </w:style>
  <w:style w:type="character" w:styleId="35">
    <w:name w:val="HTML Cite"/>
    <w:basedOn w:val="26"/>
    <w:unhideWhenUsed/>
    <w:qFormat/>
    <w:uiPriority w:val="99"/>
  </w:style>
  <w:style w:type="paragraph" w:customStyle="1" w:styleId="36">
    <w:name w:val="Default"/>
    <w:qFormat/>
    <w:uiPriority w:val="0"/>
    <w:pPr>
      <w:widowControl w:val="0"/>
      <w:autoSpaceDE w:val="0"/>
      <w:autoSpaceDN w:val="0"/>
      <w:adjustRightInd w:val="0"/>
    </w:pPr>
    <w:rPr>
      <w:rFonts w:ascii="楷体_GB2312" w:hAnsi="Calibri" w:eastAsia="楷体_GB2312" w:cs="楷体_GB2312"/>
      <w:color w:val="000000"/>
      <w:sz w:val="24"/>
      <w:szCs w:val="24"/>
      <w:lang w:val="en-US" w:eastAsia="zh-CN" w:bidi="ar-SA"/>
    </w:rPr>
  </w:style>
  <w:style w:type="paragraph" w:customStyle="1" w:styleId="37">
    <w:name w:val="主题词"/>
    <w:basedOn w:val="1"/>
    <w:qFormat/>
    <w:uiPriority w:val="0"/>
    <w:pPr>
      <w:widowControl/>
      <w:autoSpaceDE w:val="0"/>
      <w:autoSpaceDN w:val="0"/>
      <w:adjustRightInd w:val="0"/>
      <w:spacing w:line="240" w:lineRule="atLeast"/>
      <w:jc w:val="left"/>
    </w:pPr>
    <w:rPr>
      <w:rFonts w:hint="eastAsia" w:ascii="冼极" w:hAnsi="Times New Roman" w:eastAsia="冼极"/>
      <w:b/>
      <w:kern w:val="0"/>
      <w:sz w:val="32"/>
      <w:szCs w:val="20"/>
    </w:rPr>
  </w:style>
  <w:style w:type="paragraph" w:customStyle="1" w:styleId="38">
    <w:name w:val="标题1"/>
    <w:basedOn w:val="1"/>
    <w:next w:val="1"/>
    <w:qFormat/>
    <w:uiPriority w:val="0"/>
    <w:pPr>
      <w:tabs>
        <w:tab w:val="left" w:pos="9193"/>
        <w:tab w:val="left" w:pos="9827"/>
      </w:tabs>
      <w:autoSpaceDE w:val="0"/>
      <w:autoSpaceDN w:val="0"/>
      <w:snapToGrid w:val="0"/>
      <w:spacing w:line="640" w:lineRule="atLeast"/>
      <w:jc w:val="center"/>
    </w:pPr>
    <w:rPr>
      <w:rFonts w:ascii="Times New Roman" w:hAnsi="Times New Roman" w:eastAsia="方正小标宋_GBK"/>
      <w:kern w:val="0"/>
      <w:sz w:val="44"/>
      <w:szCs w:val="20"/>
    </w:rPr>
  </w:style>
  <w:style w:type="paragraph" w:styleId="39">
    <w:name w:val="List Paragraph"/>
    <w:basedOn w:val="1"/>
    <w:qFormat/>
    <w:uiPriority w:val="34"/>
    <w:pPr>
      <w:ind w:firstLine="420" w:firstLineChars="200"/>
    </w:pPr>
  </w:style>
  <w:style w:type="character" w:customStyle="1" w:styleId="40">
    <w:name w:val="正文文本缩进 Char"/>
    <w:link w:val="10"/>
    <w:semiHidden/>
    <w:qFormat/>
    <w:uiPriority w:val="99"/>
    <w:rPr>
      <w:kern w:val="2"/>
      <w:sz w:val="21"/>
      <w:szCs w:val="22"/>
    </w:rPr>
  </w:style>
  <w:style w:type="character" w:customStyle="1" w:styleId="41">
    <w:name w:val="正文首行缩进 2 Char"/>
    <w:link w:val="22"/>
    <w:qFormat/>
    <w:uiPriority w:val="0"/>
    <w:rPr>
      <w:rFonts w:ascii="Times New Roman" w:hAnsi="Times New Roman"/>
      <w:kern w:val="2"/>
      <w:sz w:val="21"/>
      <w:szCs w:val="22"/>
    </w:rPr>
  </w:style>
  <w:style w:type="character" w:customStyle="1" w:styleId="42">
    <w:name w:val="dt6"/>
    <w:basedOn w:val="26"/>
    <w:qFormat/>
    <w:uiPriority w:val="0"/>
  </w:style>
  <w:style w:type="character" w:customStyle="1" w:styleId="43">
    <w:name w:val="dt62"/>
    <w:basedOn w:val="26"/>
    <w:qFormat/>
    <w:uiPriority w:val="0"/>
  </w:style>
  <w:style w:type="character" w:customStyle="1" w:styleId="44">
    <w:name w:val="dt4"/>
    <w:basedOn w:val="26"/>
    <w:qFormat/>
    <w:uiPriority w:val="0"/>
  </w:style>
  <w:style w:type="character" w:customStyle="1" w:styleId="45">
    <w:name w:val="dt42"/>
    <w:basedOn w:val="26"/>
    <w:qFormat/>
    <w:uiPriority w:val="0"/>
  </w:style>
  <w:style w:type="character" w:customStyle="1" w:styleId="46">
    <w:name w:val="日期 Char"/>
    <w:link w:val="13"/>
    <w:semiHidden/>
    <w:qFormat/>
    <w:uiPriority w:val="99"/>
    <w:rPr>
      <w:kern w:val="2"/>
      <w:sz w:val="21"/>
      <w:szCs w:val="22"/>
    </w:rPr>
  </w:style>
  <w:style w:type="character" w:customStyle="1" w:styleId="47">
    <w:name w:val="页脚 Char"/>
    <w:link w:val="15"/>
    <w:qFormat/>
    <w:uiPriority w:val="99"/>
    <w:rPr>
      <w:sz w:val="18"/>
      <w:szCs w:val="18"/>
    </w:rPr>
  </w:style>
  <w:style w:type="character" w:customStyle="1" w:styleId="48">
    <w:name w:val="dt52"/>
    <w:basedOn w:val="26"/>
    <w:qFormat/>
    <w:uiPriority w:val="0"/>
  </w:style>
  <w:style w:type="character" w:customStyle="1" w:styleId="49">
    <w:name w:val="页眉 Char"/>
    <w:link w:val="16"/>
    <w:qFormat/>
    <w:uiPriority w:val="99"/>
    <w:rPr>
      <w:sz w:val="18"/>
      <w:szCs w:val="18"/>
    </w:rPr>
  </w:style>
  <w:style w:type="character" w:customStyle="1" w:styleId="50">
    <w:name w:val="dt5"/>
    <w:basedOn w:val="26"/>
    <w:qFormat/>
    <w:uiPriority w:val="0"/>
  </w:style>
  <w:style w:type="paragraph" w:customStyle="1" w:styleId="51">
    <w:name w:val="Heading #1|1"/>
    <w:qFormat/>
    <w:uiPriority w:val="0"/>
    <w:pPr>
      <w:widowControl w:val="0"/>
      <w:spacing w:after="440" w:line="274" w:lineRule="auto"/>
      <w:jc w:val="center"/>
      <w:outlineLvl w:val="0"/>
    </w:pPr>
    <w:rPr>
      <w:rFonts w:ascii="宋体" w:hAnsi="宋体" w:eastAsia="宋体" w:cs="宋体"/>
      <w:kern w:val="2"/>
      <w:sz w:val="44"/>
      <w:szCs w:val="44"/>
      <w:lang w:val="zh-TW" w:eastAsia="zh-TW" w:bidi="zh-TW"/>
    </w:rPr>
  </w:style>
  <w:style w:type="paragraph" w:customStyle="1" w:styleId="52">
    <w:name w:val="Other|1"/>
    <w:qFormat/>
    <w:uiPriority w:val="0"/>
    <w:pPr>
      <w:widowControl w:val="0"/>
      <w:ind w:left="270"/>
    </w:pPr>
    <w:rPr>
      <w:rFonts w:ascii="宋体" w:hAnsi="宋体" w:eastAsia="宋体" w:cs="宋体"/>
      <w:kern w:val="2"/>
      <w:sz w:val="21"/>
      <w:szCs w:val="22"/>
      <w:lang w:val="zh-TW" w:eastAsia="zh-TW" w:bidi="zh-TW"/>
    </w:rPr>
  </w:style>
  <w:style w:type="paragraph" w:customStyle="1" w:styleId="53">
    <w:name w:val="标题3"/>
    <w:next w:val="1"/>
    <w:qFormat/>
    <w:uiPriority w:val="0"/>
    <w:pPr>
      <w:widowControl w:val="0"/>
      <w:autoSpaceDE w:val="0"/>
      <w:autoSpaceDN w:val="0"/>
      <w:snapToGrid w:val="0"/>
      <w:spacing w:line="590" w:lineRule="atLeast"/>
      <w:ind w:firstLine="624"/>
      <w:jc w:val="both"/>
    </w:pPr>
    <w:rPr>
      <w:rFonts w:ascii="Times New Roman" w:hAnsi="Times New Roman" w:eastAsia="方正黑体_GBK" w:cs="Times New Roman"/>
      <w:snapToGrid w:val="0"/>
      <w:lang w:val="en-US" w:eastAsia="zh-CN" w:bidi="ar-SA"/>
    </w:rPr>
  </w:style>
  <w:style w:type="paragraph" w:customStyle="1" w:styleId="54">
    <w:name w:val="List Paragraph1"/>
    <w:qFormat/>
    <w:uiPriority w:val="0"/>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55">
    <w:name w:val="列出段落1"/>
    <w:qFormat/>
    <w:uiPriority w:val="99"/>
    <w:pPr>
      <w:spacing w:line="579" w:lineRule="exact"/>
      <w:ind w:firstLine="420" w:firstLineChars="200"/>
    </w:pPr>
    <w:rPr>
      <w:rFonts w:ascii="仿宋" w:hAnsi="仿宋" w:eastAsia="仿宋" w:cs="Times New Roman"/>
      <w:sz w:val="32"/>
      <w:szCs w:val="22"/>
      <w:lang w:val="en-US" w:eastAsia="zh-CN" w:bidi="ar-SA"/>
    </w:rPr>
  </w:style>
  <w:style w:type="paragraph" w:customStyle="1" w:styleId="56">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57">
    <w:name w:val="p14"/>
    <w:qFormat/>
    <w:uiPriority w:val="0"/>
  </w:style>
  <w:style w:type="paragraph" w:customStyle="1" w:styleId="58">
    <w:name w:val="报告书 正文"/>
    <w:qFormat/>
    <w:uiPriority w:val="0"/>
    <w:pPr>
      <w:widowControl w:val="0"/>
      <w:spacing w:line="500" w:lineRule="exact"/>
      <w:ind w:firstLine="200" w:firstLineChars="200"/>
      <w:jc w:val="both"/>
    </w:pPr>
    <w:rPr>
      <w:rFonts w:ascii="仿宋_GB2312" w:hAnsi="Calibri" w:eastAsia="仿宋_GB2312" w:cs="Times New Roman"/>
      <w:sz w:val="28"/>
      <w:szCs w:val="24"/>
      <w:lang w:val="en-US" w:eastAsia="zh-CN" w:bidi="ar-SA"/>
    </w:rPr>
  </w:style>
  <w:style w:type="character" w:customStyle="1" w:styleId="59">
    <w:name w:val="批注框文本 Char"/>
    <w:basedOn w:val="26"/>
    <w:link w:val="14"/>
    <w:semiHidden/>
    <w:qFormat/>
    <w:uiPriority w:val="99"/>
    <w:rPr>
      <w:rFonts w:eastAsia="微软雅黑"/>
      <w:kern w:val="2"/>
      <w:sz w:val="18"/>
      <w:szCs w:val="18"/>
    </w:rPr>
  </w:style>
  <w:style w:type="paragraph" w:customStyle="1" w:styleId="60">
    <w:name w:val="Decimal Aligned"/>
    <w:basedOn w:val="1"/>
    <w:qFormat/>
    <w:uiPriority w:val="40"/>
    <w:pPr>
      <w:widowControl/>
      <w:tabs>
        <w:tab w:val="decimal" w:pos="360"/>
      </w:tabs>
      <w:spacing w:after="200" w:line="276" w:lineRule="auto"/>
      <w:jc w:val="left"/>
    </w:pPr>
    <w:rPr>
      <w:rFonts w:asciiTheme="minorHAnsi" w:hAnsiTheme="minorHAnsi" w:eastAsiaTheme="minorHAnsi" w:cstheme="minorBidi"/>
      <w:kern w:val="0"/>
      <w:sz w:val="22"/>
    </w:rPr>
  </w:style>
  <w:style w:type="character" w:customStyle="1" w:styleId="61">
    <w:name w:val="脚注文本 Char"/>
    <w:basedOn w:val="26"/>
    <w:link w:val="18"/>
    <w:qFormat/>
    <w:uiPriority w:val="99"/>
    <w:rPr>
      <w:rFonts w:asciiTheme="minorHAnsi" w:hAnsiTheme="minorHAnsi" w:eastAsiaTheme="minorEastAsia" w:cstheme="minorBidi"/>
    </w:rPr>
  </w:style>
  <w:style w:type="character" w:customStyle="1" w:styleId="62">
    <w:name w:val="Subtle Emphasis"/>
    <w:basedOn w:val="26"/>
    <w:qFormat/>
    <w:uiPriority w:val="19"/>
    <w:rPr>
      <w:i/>
      <w:iCs/>
      <w:color w:val="000000" w:themeColor="text1"/>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8.emf"/><Relationship Id="rId34" Type="http://schemas.openxmlformats.org/officeDocument/2006/relationships/oleObject" Target="embeddings/oleObject3.bin"/><Relationship Id="rId33" Type="http://schemas.openxmlformats.org/officeDocument/2006/relationships/image" Target="media/image7.emf"/><Relationship Id="rId32" Type="http://schemas.openxmlformats.org/officeDocument/2006/relationships/oleObject" Target="embeddings/oleObject2.bin"/><Relationship Id="rId31" Type="http://schemas.openxmlformats.org/officeDocument/2006/relationships/image" Target="media/image6.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D60FB8-6CBC-4DEA-92B0-90106673E044}">
  <ds:schemaRefs/>
</ds:datastoreItem>
</file>

<file path=docProps/app.xml><?xml version="1.0" encoding="utf-8"?>
<Properties xmlns="http://schemas.openxmlformats.org/officeDocument/2006/extended-properties" xmlns:vt="http://schemas.openxmlformats.org/officeDocument/2006/docPropsVTypes">
  <Template>Normal</Template>
  <Pages>255</Pages>
  <Words>2445</Words>
  <Characters>2630</Characters>
  <Lines>859</Lines>
  <Paragraphs>241</Paragraphs>
  <TotalTime>484</TotalTime>
  <ScaleCrop>false</ScaleCrop>
  <LinksUpToDate>false</LinksUpToDate>
  <CharactersWithSpaces>2736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2019-04-10T02:14:00Z</dcterms:created>
  <dc:creator>Administrator</dc:creator>
  <cp:lastModifiedBy>MC</cp:lastModifiedBy>
  <cp:lastPrinted>2020-12-21T08:26:00Z</cp:lastPrinted>
  <dcterms:modified xsi:type="dcterms:W3CDTF">2025-08-13T08:20:41Z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E5E7474B9AF04563A2BBB8E95D0D3462_13</vt:lpwstr>
  </property>
  <property fmtid="{D5CDD505-2E9C-101B-9397-08002B2CF9AE}" pid="4" name="KSOTemplateDocerSaveRecord">
    <vt:lpwstr>eyJoZGlkIjoiOGFjZTdlZjFlZjI2NGNmNTg5YjRmYzdmZDJmMTY4MzMiLCJ1c2VySWQiOiI0NjA1NDY3NjEifQ==</vt:lpwstr>
  </property>
</Properties>
</file>